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25416C" w14:textId="3732EBA8" w:rsidR="00A82BE6" w:rsidRDefault="00A82BE6" w:rsidP="0020310B">
      <w:pPr>
        <w:spacing w:line="240" w:lineRule="auto"/>
        <w:contextualSpacing/>
        <w:jc w:val="center"/>
        <w:rPr>
          <w:rFonts w:ascii="Arial" w:hAnsi="Arial" w:cs="Arial"/>
          <w:b/>
          <w:color w:val="0070C0"/>
          <w:sz w:val="28"/>
          <w:szCs w:val="28"/>
        </w:rPr>
      </w:pPr>
      <w:r>
        <w:rPr>
          <w:rFonts w:ascii="Arial" w:hAnsi="Arial" w:cs="Arial"/>
          <w:b/>
          <w:color w:val="0070C0"/>
          <w:sz w:val="28"/>
          <w:szCs w:val="28"/>
        </w:rPr>
        <w:t>Stanovisko Rady pro výzkum, vývoj a inovace k</w:t>
      </w:r>
      <w:r w:rsidR="00A70D2E">
        <w:rPr>
          <w:rFonts w:ascii="Arial" w:hAnsi="Arial" w:cs="Arial"/>
          <w:b/>
          <w:color w:val="0070C0"/>
          <w:sz w:val="28"/>
          <w:szCs w:val="28"/>
        </w:rPr>
        <w:t> Souhrnnému akčnímu plánu Strategie restrukturalizace Ústeckého, Moravskoslezského a Karlovarského kraje</w:t>
      </w:r>
    </w:p>
    <w:p w14:paraId="424B9DD5" w14:textId="77777777" w:rsidR="00A1501B" w:rsidRDefault="00D2440F" w:rsidP="0020310B">
      <w:pPr>
        <w:spacing w:line="240" w:lineRule="auto"/>
        <w:jc w:val="center"/>
        <w:rPr>
          <w:rFonts w:ascii="Arial" w:hAnsi="Arial" w:cs="Arial"/>
          <w:b/>
          <w:shd w:val="clear" w:color="auto" w:fill="FFFFFF"/>
        </w:rPr>
      </w:pPr>
      <w:r>
        <w:rPr>
          <w:rFonts w:ascii="Arial" w:hAnsi="Arial" w:cs="Arial"/>
          <w:b/>
          <w:shd w:val="clear" w:color="auto" w:fill="FFFFFF"/>
        </w:rPr>
        <w:t>___________________________________________________________________</w:t>
      </w:r>
    </w:p>
    <w:p w14:paraId="69F2C6CC" w14:textId="77777777" w:rsidR="00A1501B" w:rsidRDefault="00A1501B" w:rsidP="00C04DA0">
      <w:pPr>
        <w:spacing w:line="240" w:lineRule="auto"/>
        <w:jc w:val="both"/>
        <w:rPr>
          <w:rFonts w:ascii="Arial" w:hAnsi="Arial" w:cs="Arial"/>
          <w:color w:val="548DD4" w:themeColor="text2" w:themeTint="99"/>
          <w:shd w:val="clear" w:color="auto" w:fill="FFFFFF"/>
        </w:rPr>
      </w:pPr>
    </w:p>
    <w:p w14:paraId="21C178D2" w14:textId="77777777" w:rsidR="001D2D43" w:rsidRPr="00CE480E" w:rsidRDefault="001D2D43" w:rsidP="00C04DA0">
      <w:pPr>
        <w:pStyle w:val="Odstavecseseznamem"/>
        <w:numPr>
          <w:ilvl w:val="0"/>
          <w:numId w:val="5"/>
        </w:numPr>
        <w:spacing w:line="240" w:lineRule="auto"/>
        <w:jc w:val="both"/>
        <w:rPr>
          <w:rFonts w:ascii="Arial" w:hAnsi="Arial" w:cs="Arial"/>
          <w:b/>
          <w:color w:val="548DD4" w:themeColor="text2" w:themeTint="99"/>
          <w:sz w:val="24"/>
          <w:szCs w:val="24"/>
          <w:shd w:val="clear" w:color="auto" w:fill="FFFFFF"/>
        </w:rPr>
      </w:pPr>
      <w:r w:rsidRPr="00CE480E">
        <w:rPr>
          <w:rFonts w:ascii="Arial" w:hAnsi="Arial" w:cs="Arial"/>
          <w:b/>
          <w:color w:val="548DD4" w:themeColor="text2" w:themeTint="99"/>
          <w:sz w:val="24"/>
          <w:szCs w:val="24"/>
          <w:shd w:val="clear" w:color="auto" w:fill="FFFFFF"/>
        </w:rPr>
        <w:t>Způsob předložení návrhu</w:t>
      </w:r>
    </w:p>
    <w:p w14:paraId="1644DBAB" w14:textId="64C3DAC5" w:rsidR="00A1501B" w:rsidRPr="00CE480E" w:rsidRDefault="00A1501B" w:rsidP="00C04DA0">
      <w:pPr>
        <w:spacing w:line="240" w:lineRule="auto"/>
        <w:jc w:val="both"/>
        <w:rPr>
          <w:rFonts w:ascii="Arial" w:hAnsi="Arial" w:cs="Arial"/>
          <w:shd w:val="clear" w:color="auto" w:fill="FFFFFF"/>
        </w:rPr>
      </w:pPr>
      <w:r w:rsidRPr="00CE480E">
        <w:rPr>
          <w:rFonts w:ascii="Arial" w:hAnsi="Arial" w:cs="Arial"/>
          <w:shd w:val="clear" w:color="auto" w:fill="FFFFFF"/>
        </w:rPr>
        <w:t xml:space="preserve">Dopisem </w:t>
      </w:r>
      <w:r w:rsidR="005130AB" w:rsidRPr="00CE480E">
        <w:rPr>
          <w:rFonts w:ascii="Arial" w:hAnsi="Arial" w:cs="Arial"/>
          <w:shd w:val="clear" w:color="auto" w:fill="FFFFFF"/>
        </w:rPr>
        <w:t xml:space="preserve">ze </w:t>
      </w:r>
      <w:r w:rsidR="004E7166" w:rsidRPr="00CE480E">
        <w:rPr>
          <w:rFonts w:ascii="Arial" w:hAnsi="Arial" w:cs="Arial"/>
          <w:shd w:val="clear" w:color="auto" w:fill="FFFFFF"/>
        </w:rPr>
        <w:t xml:space="preserve">č. j. MMR-22556/2017-52 předložila ministryně pro místní rozvoj Radě pro výzkum, vývoj a inovace (dále jen „Rada“) žádost </w:t>
      </w:r>
      <w:r w:rsidR="000C5E8D" w:rsidRPr="00CE480E">
        <w:rPr>
          <w:rFonts w:ascii="Arial" w:hAnsi="Arial" w:cs="Arial"/>
          <w:shd w:val="clear" w:color="auto" w:fill="FFFFFF"/>
        </w:rPr>
        <w:t>o projednání</w:t>
      </w:r>
      <w:r w:rsidR="004E7166" w:rsidRPr="00CE480E">
        <w:rPr>
          <w:rFonts w:ascii="Arial" w:hAnsi="Arial" w:cs="Arial"/>
          <w:shd w:val="clear" w:color="auto" w:fill="FFFFFF"/>
        </w:rPr>
        <w:t xml:space="preserve"> Souhrnného akčního plánu Strategie restrukturalizace Ústeckého, Moravskoslezského a</w:t>
      </w:r>
      <w:r w:rsidR="00FB75E9" w:rsidRPr="00CE480E">
        <w:rPr>
          <w:rFonts w:ascii="Arial" w:hAnsi="Arial" w:cs="Arial"/>
          <w:shd w:val="clear" w:color="auto" w:fill="FFFFFF"/>
        </w:rPr>
        <w:t> </w:t>
      </w:r>
      <w:r w:rsidR="004E7166" w:rsidRPr="00CE480E">
        <w:rPr>
          <w:rFonts w:ascii="Arial" w:hAnsi="Arial" w:cs="Arial"/>
          <w:shd w:val="clear" w:color="auto" w:fill="FFFFFF"/>
        </w:rPr>
        <w:t>Karlovarského kraje (dále jen „materiál“)</w:t>
      </w:r>
      <w:r w:rsidR="000C5E8D" w:rsidRPr="00CE480E">
        <w:rPr>
          <w:rFonts w:ascii="Arial" w:hAnsi="Arial" w:cs="Arial"/>
          <w:shd w:val="clear" w:color="auto" w:fill="FFFFFF"/>
        </w:rPr>
        <w:t>.</w:t>
      </w:r>
    </w:p>
    <w:p w14:paraId="6353E8E2" w14:textId="0E0933E6" w:rsidR="00D2440F" w:rsidRPr="00CE480E" w:rsidRDefault="00D2440F" w:rsidP="00C04DA0">
      <w:pPr>
        <w:pStyle w:val="Odstavecseseznamem"/>
        <w:numPr>
          <w:ilvl w:val="0"/>
          <w:numId w:val="5"/>
        </w:numPr>
        <w:spacing w:line="240" w:lineRule="auto"/>
        <w:jc w:val="both"/>
        <w:rPr>
          <w:rFonts w:ascii="Arial" w:hAnsi="Arial" w:cs="Arial"/>
          <w:b/>
          <w:color w:val="548DD4" w:themeColor="text2" w:themeTint="99"/>
          <w:sz w:val="24"/>
          <w:szCs w:val="24"/>
          <w:shd w:val="clear" w:color="auto" w:fill="FFFFFF"/>
        </w:rPr>
      </w:pPr>
      <w:r w:rsidRPr="00CE480E">
        <w:rPr>
          <w:rFonts w:ascii="Arial" w:hAnsi="Arial" w:cs="Arial"/>
          <w:b/>
          <w:color w:val="548DD4" w:themeColor="text2" w:themeTint="99"/>
          <w:sz w:val="24"/>
          <w:szCs w:val="24"/>
          <w:shd w:val="clear" w:color="auto" w:fill="FFFFFF"/>
        </w:rPr>
        <w:t xml:space="preserve">Důvod </w:t>
      </w:r>
      <w:r w:rsidR="00BE1BE6" w:rsidRPr="00CE480E">
        <w:rPr>
          <w:rFonts w:ascii="Arial" w:hAnsi="Arial" w:cs="Arial"/>
          <w:b/>
          <w:color w:val="548DD4" w:themeColor="text2" w:themeTint="99"/>
          <w:sz w:val="24"/>
          <w:szCs w:val="24"/>
          <w:shd w:val="clear" w:color="auto" w:fill="FFFFFF"/>
        </w:rPr>
        <w:t xml:space="preserve">předložení </w:t>
      </w:r>
      <w:r w:rsidRPr="00CE480E">
        <w:rPr>
          <w:rFonts w:ascii="Arial" w:hAnsi="Arial" w:cs="Arial"/>
          <w:b/>
          <w:color w:val="548DD4" w:themeColor="text2" w:themeTint="99"/>
          <w:sz w:val="24"/>
          <w:szCs w:val="24"/>
          <w:shd w:val="clear" w:color="auto" w:fill="FFFFFF"/>
        </w:rPr>
        <w:t>a informace o dokumentu</w:t>
      </w:r>
    </w:p>
    <w:p w14:paraId="1FD02743" w14:textId="0EC77130" w:rsidR="00000109" w:rsidRPr="00CE480E" w:rsidRDefault="001B60A7" w:rsidP="000F08F9">
      <w:pPr>
        <w:spacing w:line="240" w:lineRule="auto"/>
        <w:jc w:val="both"/>
        <w:rPr>
          <w:rFonts w:ascii="Arial" w:hAnsi="Arial" w:cs="Arial"/>
        </w:rPr>
      </w:pPr>
      <w:r w:rsidRPr="00CE480E">
        <w:rPr>
          <w:rFonts w:ascii="Arial" w:hAnsi="Arial" w:cs="Arial"/>
        </w:rPr>
        <w:t xml:space="preserve">Ministerstvo pro místní rozvoj v návaznosti na usnesení vlády ze dne 9. ledna 2017 č. 3 zpracovalo ve spolupráci s Ministerstvem průmyslu a obchodu a Úřadem zmocněnce vlády pro Moravskoslezský, Ústecký a Karlovarský kraj </w:t>
      </w:r>
      <w:r w:rsidR="009E3C99" w:rsidRPr="00CE480E">
        <w:rPr>
          <w:rFonts w:ascii="Arial" w:hAnsi="Arial" w:cs="Arial"/>
        </w:rPr>
        <w:t xml:space="preserve">uvedený </w:t>
      </w:r>
      <w:r w:rsidRPr="00CE480E">
        <w:rPr>
          <w:rFonts w:ascii="Arial" w:hAnsi="Arial" w:cs="Arial"/>
        </w:rPr>
        <w:t>materiál.</w:t>
      </w:r>
      <w:r w:rsidR="009E3C99" w:rsidRPr="00CE480E">
        <w:rPr>
          <w:rFonts w:ascii="Arial" w:hAnsi="Arial" w:cs="Arial"/>
        </w:rPr>
        <w:t xml:space="preserve"> </w:t>
      </w:r>
      <w:r w:rsidR="005130AB" w:rsidRPr="00CE480E">
        <w:rPr>
          <w:rFonts w:ascii="Arial" w:hAnsi="Arial" w:cs="Arial"/>
        </w:rPr>
        <w:t xml:space="preserve">Materiál byl dopisem ministryně pro místní rozvoj č. j. MMR-16462/2017-52 rozeslán </w:t>
      </w:r>
      <w:r w:rsidR="0036279C" w:rsidRPr="00CE480E">
        <w:rPr>
          <w:rFonts w:ascii="Arial" w:hAnsi="Arial" w:cs="Arial"/>
        </w:rPr>
        <w:t>do mezirezortního připomínkového řízení, které probíhalo ve dnech 9.</w:t>
      </w:r>
      <w:r w:rsidR="005130AB" w:rsidRPr="00CE480E">
        <w:rPr>
          <w:rFonts w:ascii="Arial" w:hAnsi="Arial" w:cs="Arial"/>
        </w:rPr>
        <w:t xml:space="preserve"> května </w:t>
      </w:r>
      <w:r w:rsidR="0036279C" w:rsidRPr="00CE480E">
        <w:rPr>
          <w:rFonts w:ascii="Arial" w:hAnsi="Arial" w:cs="Arial"/>
        </w:rPr>
        <w:t>– 23.</w:t>
      </w:r>
      <w:r w:rsidR="005130AB" w:rsidRPr="00CE480E">
        <w:rPr>
          <w:rFonts w:ascii="Arial" w:hAnsi="Arial" w:cs="Arial"/>
        </w:rPr>
        <w:t> </w:t>
      </w:r>
      <w:r w:rsidR="00911E95">
        <w:rPr>
          <w:rFonts w:ascii="Arial" w:hAnsi="Arial" w:cs="Arial"/>
        </w:rPr>
        <w:t xml:space="preserve">května 2017, </w:t>
      </w:r>
      <w:r w:rsidR="00911E95" w:rsidRPr="00911E95">
        <w:rPr>
          <w:rFonts w:ascii="Arial" w:hAnsi="Arial" w:cs="Arial"/>
        </w:rPr>
        <w:t xml:space="preserve">bez předchozího předložení Radě pro výzkum, vývoj a inovace (RVVI) ke stanovisku, ačkoli obsahuje celou sérii opatření v oblasti </w:t>
      </w:r>
      <w:proofErr w:type="spellStart"/>
      <w:r w:rsidR="00911E95" w:rsidRPr="00911E95">
        <w:rPr>
          <w:rFonts w:ascii="Arial" w:hAnsi="Arial" w:cs="Arial"/>
        </w:rPr>
        <w:t>VaVaI</w:t>
      </w:r>
      <w:proofErr w:type="spellEnd"/>
      <w:r w:rsidR="00911E95" w:rsidRPr="00911E95">
        <w:rPr>
          <w:rFonts w:ascii="Arial" w:hAnsi="Arial" w:cs="Arial"/>
        </w:rPr>
        <w:t xml:space="preserve"> zasahujících z hlediska vyjádření a schvalování do kompetencí RVVI. Dokument v pilířích A, C svými intervencemi zasahuje do implementace a koordinace Národní politiky výzkumu, vývoje a inovací ČR na léta 2016 - 2020 (dále jen "NP </w:t>
      </w:r>
      <w:proofErr w:type="spellStart"/>
      <w:r w:rsidR="00911E95" w:rsidRPr="00911E95">
        <w:rPr>
          <w:rFonts w:ascii="Arial" w:hAnsi="Arial" w:cs="Arial"/>
        </w:rPr>
        <w:t>VaVaI</w:t>
      </w:r>
      <w:proofErr w:type="spellEnd"/>
      <w:r w:rsidR="00911E95" w:rsidRPr="00911E95">
        <w:rPr>
          <w:rFonts w:ascii="Arial" w:hAnsi="Arial" w:cs="Arial"/>
        </w:rPr>
        <w:t xml:space="preserve">") a Národní RIS3 strategie. Tyto aktivity podléhají vyjádření RVVI před jejich projednáním vládou ČR. I když je předkládaný materiál svojí povahou koncepční materiál, řeší problematiku v oblasti rozvoje </w:t>
      </w:r>
      <w:proofErr w:type="spellStart"/>
      <w:r w:rsidR="00911E95" w:rsidRPr="00911E95">
        <w:rPr>
          <w:rFonts w:ascii="Arial" w:hAnsi="Arial" w:cs="Arial"/>
        </w:rPr>
        <w:t>VaVaI</w:t>
      </w:r>
      <w:proofErr w:type="spellEnd"/>
      <w:r w:rsidR="00911E95" w:rsidRPr="00911E95">
        <w:rPr>
          <w:rFonts w:ascii="Arial" w:hAnsi="Arial" w:cs="Arial"/>
        </w:rPr>
        <w:t xml:space="preserve"> a je vládě ČR předkládán ke schvalování. </w:t>
      </w:r>
      <w:r w:rsidR="0086529E">
        <w:rPr>
          <w:rFonts w:ascii="Arial" w:hAnsi="Arial" w:cs="Arial"/>
        </w:rPr>
        <w:t xml:space="preserve">Z </w:t>
      </w:r>
      <w:r w:rsidR="00911E95" w:rsidRPr="00911E95">
        <w:rPr>
          <w:rFonts w:ascii="Arial" w:hAnsi="Arial" w:cs="Arial"/>
        </w:rPr>
        <w:t>tohoto důvodu má MMR jako gestor povinnost předložit dokument na jednání RVVI k vyjádření řádným způsobem dle jejího jednacího řádu.</w:t>
      </w:r>
    </w:p>
    <w:p w14:paraId="428BDF3C" w14:textId="61424565" w:rsidR="004A2485" w:rsidRDefault="00A00A6F" w:rsidP="004A2485">
      <w:pPr>
        <w:pStyle w:val="Tlotextu"/>
        <w:spacing w:line="240" w:lineRule="auto"/>
        <w:rPr>
          <w:rFonts w:eastAsia="TimesNewRomanPSMT"/>
          <w:lang w:eastAsia="en-US"/>
        </w:rPr>
      </w:pPr>
      <w:r w:rsidRPr="00CE480E">
        <w:t xml:space="preserve">Úřad </w:t>
      </w:r>
      <w:r w:rsidR="005130AB" w:rsidRPr="00CE480E">
        <w:t xml:space="preserve">místopředsedy vlády </w:t>
      </w:r>
      <w:r w:rsidRPr="00CE480E">
        <w:t>pro vě</w:t>
      </w:r>
      <w:r w:rsidR="005130AB" w:rsidRPr="00CE480E">
        <w:t xml:space="preserve">du, výzkum a inovace </w:t>
      </w:r>
      <w:r w:rsidR="00A02C1E" w:rsidRPr="00CE480E">
        <w:t xml:space="preserve">(dále jen „ÚV ČR – RVV“) </w:t>
      </w:r>
      <w:r w:rsidR="005130AB" w:rsidRPr="00CE480E">
        <w:t>formuloval</w:t>
      </w:r>
      <w:r w:rsidRPr="00CE480E">
        <w:t xml:space="preserve"> zásadní připomínky k materiálu, které byly dopisem místopředsedy vlády pro vědu, výzkum a</w:t>
      </w:r>
      <w:r w:rsidR="00EC464D" w:rsidRPr="00CE480E">
        <w:t> </w:t>
      </w:r>
      <w:r w:rsidRPr="00CE480E">
        <w:t xml:space="preserve">inovace č. j. 12982/2017 </w:t>
      </w:r>
      <w:r w:rsidR="00216FF3" w:rsidRPr="00CE480E">
        <w:t>uplatněny v</w:t>
      </w:r>
      <w:r w:rsidR="003E4510" w:rsidRPr="00CE480E">
        <w:t xml:space="preserve"> </w:t>
      </w:r>
      <w:r w:rsidR="00216FF3" w:rsidRPr="00CE480E">
        <w:t>meziresortním připomínkovém</w:t>
      </w:r>
      <w:r w:rsidRPr="00CE480E">
        <w:t xml:space="preserve"> řízení. </w:t>
      </w:r>
      <w:r w:rsidR="00BC1B0E" w:rsidRPr="00CE480E">
        <w:t>Materiál</w:t>
      </w:r>
      <w:r w:rsidR="00CA6C13" w:rsidRPr="00CE480E">
        <w:t xml:space="preserve"> byl </w:t>
      </w:r>
      <w:r w:rsidR="00793A0B" w:rsidRPr="00CE480E">
        <w:t xml:space="preserve">teprve </w:t>
      </w:r>
      <w:r w:rsidR="00CA6C13" w:rsidRPr="00CE480E">
        <w:t xml:space="preserve">na základě </w:t>
      </w:r>
      <w:r w:rsidR="00BC1B0E" w:rsidRPr="00CE480E">
        <w:t xml:space="preserve">těchto </w:t>
      </w:r>
      <w:r w:rsidR="00CA6C13" w:rsidRPr="00CE480E">
        <w:t xml:space="preserve">zásadních připomínek </w:t>
      </w:r>
      <w:r w:rsidR="009E1AFD" w:rsidRPr="00CE480E">
        <w:t>předložen Radě</w:t>
      </w:r>
      <w:r w:rsidR="00CA6C13" w:rsidRPr="00CE480E">
        <w:t xml:space="preserve"> na její </w:t>
      </w:r>
      <w:r w:rsidR="009E1AFD" w:rsidRPr="00CE480E">
        <w:t>326. zasedání dne 26.</w:t>
      </w:r>
      <w:r w:rsidR="00793A0B" w:rsidRPr="00CE480E">
        <w:t> </w:t>
      </w:r>
      <w:r w:rsidR="009E1AFD" w:rsidRPr="00CE480E">
        <w:t xml:space="preserve">května </w:t>
      </w:r>
      <w:r w:rsidR="00CA6C13" w:rsidRPr="00CE480E">
        <w:t>2017, nicméně vzhledem k pozdnímu zaslání materiálu nebylo možné k</w:t>
      </w:r>
      <w:r w:rsidR="00793A0B" w:rsidRPr="00CE480E">
        <w:t> </w:t>
      </w:r>
      <w:r w:rsidR="00CA6C13" w:rsidRPr="00CE480E">
        <w:t>němu vypracovat stanovisko</w:t>
      </w:r>
      <w:r w:rsidR="009E1AFD" w:rsidRPr="00CE480E">
        <w:t xml:space="preserve">. </w:t>
      </w:r>
      <w:r w:rsidR="00793A0B" w:rsidRPr="00CE480E">
        <w:t>Materiál je tak znovu projednáván v původní verzi zaslané do meziresortního připomínkového řízení na 327. zasedání Rady.</w:t>
      </w:r>
      <w:r w:rsidR="00911E95">
        <w:t xml:space="preserve"> </w:t>
      </w:r>
      <w:r w:rsidR="00A02C1E" w:rsidRPr="00CE480E">
        <w:t xml:space="preserve">Zásadní připomínky formulované ÚV ČR – RVV byly ze strany MMR z velké části vypořádány akceptací a úpravou materiálu, je však nutno konstatovat, že se povětšinou jednalo o vypořádání </w:t>
      </w:r>
      <w:r w:rsidR="002C20BC" w:rsidRPr="00CE480E">
        <w:t>dílčích připomínek</w:t>
      </w:r>
      <w:r w:rsidR="00A02C1E" w:rsidRPr="00CE480E">
        <w:t xml:space="preserve">, kdy věcné rozpory v materiálu nebyly koncepčně odstraněny. </w:t>
      </w:r>
      <w:r w:rsidR="004A2485" w:rsidRPr="00911E95">
        <w:rPr>
          <w:rFonts w:eastAsia="TimesNewRomanPSMT"/>
          <w:lang w:eastAsia="en-US"/>
        </w:rPr>
        <w:t xml:space="preserve">Klíčovým problémem z hlediska oblasti </w:t>
      </w:r>
      <w:proofErr w:type="spellStart"/>
      <w:r w:rsidR="004A2485" w:rsidRPr="00911E95">
        <w:rPr>
          <w:rFonts w:eastAsia="TimesNewRomanPSMT"/>
          <w:lang w:eastAsia="en-US"/>
        </w:rPr>
        <w:t>VaVaI</w:t>
      </w:r>
      <w:proofErr w:type="spellEnd"/>
      <w:r w:rsidR="004A2485" w:rsidRPr="00911E95">
        <w:rPr>
          <w:rFonts w:eastAsia="TimesNewRomanPSMT"/>
          <w:lang w:eastAsia="en-US"/>
        </w:rPr>
        <w:t xml:space="preserve"> je navrhovaná realizace regionálně specifických veřejných soutěží resp. výzev v programech účelové podpory </w:t>
      </w:r>
      <w:proofErr w:type="spellStart"/>
      <w:r w:rsidR="004A2485" w:rsidRPr="00911E95">
        <w:rPr>
          <w:rFonts w:eastAsia="TimesNewRomanPSMT"/>
          <w:lang w:eastAsia="en-US"/>
        </w:rPr>
        <w:t>VaVaI</w:t>
      </w:r>
      <w:proofErr w:type="spellEnd"/>
      <w:r w:rsidR="00EE3D87">
        <w:rPr>
          <w:rFonts w:eastAsia="TimesNewRomanPSMT"/>
          <w:lang w:eastAsia="en-US"/>
        </w:rPr>
        <w:t xml:space="preserve"> (zejména programy TA ČR a MPO)</w:t>
      </w:r>
      <w:r w:rsidR="004A2485" w:rsidRPr="00911E95">
        <w:rPr>
          <w:rFonts w:eastAsia="TimesNewRomanPSMT"/>
          <w:lang w:eastAsia="en-US"/>
        </w:rPr>
        <w:t xml:space="preserve"> resp. operačních programech</w:t>
      </w:r>
      <w:r w:rsidR="00EE3D87">
        <w:rPr>
          <w:rFonts w:eastAsia="TimesNewRomanPSMT"/>
          <w:lang w:eastAsia="en-US"/>
        </w:rPr>
        <w:t xml:space="preserve"> (MŠMT)</w:t>
      </w:r>
      <w:r w:rsidR="004A2485" w:rsidRPr="00911E95">
        <w:rPr>
          <w:rFonts w:eastAsia="TimesNewRomanPSMT"/>
          <w:lang w:eastAsia="en-US"/>
        </w:rPr>
        <w:t xml:space="preserve">. </w:t>
      </w:r>
      <w:r w:rsidR="00EE3D87" w:rsidRPr="00EE3D87">
        <w:rPr>
          <w:rFonts w:eastAsia="TimesNewRomanPSMT"/>
          <w:lang w:eastAsia="en-US"/>
        </w:rPr>
        <w:t xml:space="preserve">To v praxi znamená vyčlenění části alokace programu na předmětné regiony. Taková změna programů účelové podpory by měla značný vliv na územní distribuci prostředků a řízení jednotlivých programů a zprostředkovaně vliv na celkový rozpočet </w:t>
      </w:r>
      <w:proofErr w:type="spellStart"/>
      <w:r w:rsidR="00EE3D87" w:rsidRPr="00EE3D87">
        <w:rPr>
          <w:rFonts w:eastAsia="TimesNewRomanPSMT"/>
          <w:lang w:eastAsia="en-US"/>
        </w:rPr>
        <w:t>VaVaI</w:t>
      </w:r>
      <w:proofErr w:type="spellEnd"/>
      <w:r w:rsidR="00EE3D87" w:rsidRPr="00EE3D87">
        <w:rPr>
          <w:rFonts w:eastAsia="TimesNewRomanPSMT"/>
          <w:lang w:eastAsia="en-US"/>
        </w:rPr>
        <w:t>, a to bez zn</w:t>
      </w:r>
      <w:r w:rsidR="00EE3D87">
        <w:rPr>
          <w:rFonts w:eastAsia="TimesNewRomanPSMT"/>
          <w:lang w:eastAsia="en-US"/>
        </w:rPr>
        <w:t>alosti absorp</w:t>
      </w:r>
      <w:r w:rsidR="00EE3D87" w:rsidRPr="00EE3D87">
        <w:rPr>
          <w:rFonts w:eastAsia="TimesNewRomanPSMT"/>
          <w:lang w:eastAsia="en-US"/>
        </w:rPr>
        <w:t>ční kapacity v předmětných regionech (je však jasné, že je slab</w:t>
      </w:r>
      <w:r w:rsidR="00EE3D87">
        <w:rPr>
          <w:rFonts w:eastAsia="TimesNewRomanPSMT"/>
          <w:lang w:eastAsia="en-US"/>
        </w:rPr>
        <w:t>á jak na úrovni škol i podniků) a s tím související kvality</w:t>
      </w:r>
      <w:r w:rsidR="00EE3D87" w:rsidRPr="00EE3D87">
        <w:rPr>
          <w:rFonts w:eastAsia="TimesNewRomanPSMT"/>
          <w:lang w:eastAsia="en-US"/>
        </w:rPr>
        <w:t xml:space="preserve"> projektů. Územní redistribuce prostředků v rámci existující</w:t>
      </w:r>
      <w:r w:rsidR="00EE3D87">
        <w:rPr>
          <w:rFonts w:eastAsia="TimesNewRomanPSMT"/>
          <w:lang w:eastAsia="en-US"/>
        </w:rPr>
        <w:t>ch</w:t>
      </w:r>
      <w:r w:rsidR="00EE3D87" w:rsidRPr="00EE3D87">
        <w:rPr>
          <w:rFonts w:eastAsia="TimesNewRomanPSMT"/>
          <w:lang w:eastAsia="en-US"/>
        </w:rPr>
        <w:t xml:space="preserve"> </w:t>
      </w:r>
      <w:r w:rsidR="00EE3D87" w:rsidRPr="00EE3D87">
        <w:rPr>
          <w:rFonts w:eastAsia="TimesNewRomanPSMT"/>
          <w:lang w:eastAsia="en-US"/>
        </w:rPr>
        <w:lastRenderedPageBreak/>
        <w:t>programů účelové podpory bez navýšení rozpočtu programů by také znamenala, že ostatní subjekty v jiných částech ČR (VŠ, univerzity, podniky) budou mít sníženou alokaci na úkor předmětných krajů.</w:t>
      </w:r>
      <w:r w:rsidR="00EE3D87">
        <w:rPr>
          <w:rFonts w:eastAsia="TimesNewRomanPSMT"/>
          <w:lang w:eastAsia="en-US"/>
        </w:rPr>
        <w:t xml:space="preserve"> </w:t>
      </w:r>
      <w:r w:rsidR="004A2485" w:rsidRPr="00911E95">
        <w:rPr>
          <w:rFonts w:eastAsia="TimesNewRomanPSMT"/>
          <w:lang w:eastAsia="en-US"/>
        </w:rPr>
        <w:t xml:space="preserve">V materiálu se předjímá realizace projektů podpory </w:t>
      </w:r>
      <w:proofErr w:type="spellStart"/>
      <w:r w:rsidR="004A2485" w:rsidRPr="00911E95">
        <w:rPr>
          <w:rFonts w:eastAsia="TimesNewRomanPSMT"/>
          <w:lang w:eastAsia="en-US"/>
        </w:rPr>
        <w:t>VaVaI</w:t>
      </w:r>
      <w:proofErr w:type="spellEnd"/>
      <w:r w:rsidR="004A2485" w:rsidRPr="00911E95">
        <w:rPr>
          <w:rFonts w:eastAsia="TimesNewRomanPSMT"/>
          <w:lang w:eastAsia="en-US"/>
        </w:rPr>
        <w:t xml:space="preserve"> úpravou stávajících programů resp. v nových programech, které však musí nejprve projít schvalovacím procesem. S tím jsou rovněž spojeny nároky na státní rozpočet v oblasti </w:t>
      </w:r>
      <w:proofErr w:type="spellStart"/>
      <w:r w:rsidR="004A2485" w:rsidRPr="00911E95">
        <w:rPr>
          <w:rFonts w:eastAsia="TimesNewRomanPSMT"/>
          <w:lang w:eastAsia="en-US"/>
        </w:rPr>
        <w:t>VaVaI</w:t>
      </w:r>
      <w:proofErr w:type="spellEnd"/>
      <w:r w:rsidR="004A2485" w:rsidRPr="00911E95">
        <w:rPr>
          <w:rFonts w:eastAsia="TimesNewRomanPSMT"/>
          <w:lang w:eastAsia="en-US"/>
        </w:rPr>
        <w:t xml:space="preserve">. Opatření v pilíři A – Podnikání a inovace týkající se návaznosti na program TRIO poskytovatele MPO a opatření v Pilíři C – Výzkum a vývoj (a k nim náležející podrobné popisy) jsou v rozporu s NP </w:t>
      </w:r>
      <w:proofErr w:type="spellStart"/>
      <w:r w:rsidR="004A2485" w:rsidRPr="00911E95">
        <w:rPr>
          <w:rFonts w:eastAsia="TimesNewRomanPSMT"/>
          <w:lang w:eastAsia="en-US"/>
        </w:rPr>
        <w:t>VaVaI</w:t>
      </w:r>
      <w:proofErr w:type="spellEnd"/>
      <w:r w:rsidR="004A2485" w:rsidRPr="00911E95">
        <w:rPr>
          <w:rFonts w:eastAsia="TimesNewRomanPSMT"/>
          <w:lang w:eastAsia="en-US"/>
        </w:rPr>
        <w:t xml:space="preserve">. Programy byly připraveny a vládou schváleny jako národní a jedná se o nástroje plnění NP </w:t>
      </w:r>
      <w:proofErr w:type="spellStart"/>
      <w:r w:rsidR="004A2485" w:rsidRPr="00911E95">
        <w:rPr>
          <w:rFonts w:eastAsia="TimesNewRomanPSMT"/>
          <w:lang w:eastAsia="en-US"/>
        </w:rPr>
        <w:t>VaVaI</w:t>
      </w:r>
      <w:proofErr w:type="spellEnd"/>
      <w:r w:rsidR="004A2485" w:rsidRPr="00911E95">
        <w:rPr>
          <w:rFonts w:eastAsia="TimesNewRomanPSMT"/>
          <w:lang w:eastAsia="en-US"/>
        </w:rPr>
        <w:t xml:space="preserve">. Regionálně specifické veřejné soutěže v těchto programech jsou nepřípustné mimo jiné i proto, že ve smyslu rozpočtové odpovědnosti je nutno výzvy koncipovat jako národní. Věcné cíle mají být plněny účelně, hospodárně a efektivně, tj. těmi subjekty, které prokáží v návrhu projektu největší potenciál z hlediska věcného, nikoliv geografického. V části C.1 materiálu je jmenováno otevřenější </w:t>
      </w:r>
      <w:proofErr w:type="spellStart"/>
      <w:r w:rsidR="004A2485" w:rsidRPr="00911E95">
        <w:rPr>
          <w:rFonts w:eastAsia="TimesNewRomanPSMT"/>
          <w:lang w:eastAsia="en-US"/>
        </w:rPr>
        <w:t>VaVaI</w:t>
      </w:r>
      <w:proofErr w:type="spellEnd"/>
      <w:r w:rsidR="004A2485" w:rsidRPr="00911E95">
        <w:rPr>
          <w:rFonts w:eastAsia="TimesNewRomanPSMT"/>
          <w:lang w:eastAsia="en-US"/>
        </w:rPr>
        <w:t xml:space="preserve">, přesto se v dalším textu požaduje omezit výzvu na konkrétní region. Rovněž část C.2 nazvanou Výkonnější a atraktivnější </w:t>
      </w:r>
      <w:proofErr w:type="spellStart"/>
      <w:r w:rsidR="004A2485" w:rsidRPr="00911E95">
        <w:rPr>
          <w:rFonts w:eastAsia="TimesNewRomanPSMT"/>
          <w:lang w:eastAsia="en-US"/>
        </w:rPr>
        <w:t>VaVaI</w:t>
      </w:r>
      <w:proofErr w:type="spellEnd"/>
      <w:r w:rsidR="004A2485" w:rsidRPr="00911E95">
        <w:rPr>
          <w:rFonts w:eastAsia="TimesNewRomanPSMT"/>
          <w:lang w:eastAsia="en-US"/>
        </w:rPr>
        <w:t xml:space="preserve"> je nutno řešit na národní úrovni, jak to činí NP </w:t>
      </w:r>
      <w:proofErr w:type="spellStart"/>
      <w:r w:rsidR="004A2485" w:rsidRPr="00911E95">
        <w:rPr>
          <w:rFonts w:eastAsia="TimesNewRomanPSMT"/>
          <w:lang w:eastAsia="en-US"/>
        </w:rPr>
        <w:t>VaVaI</w:t>
      </w:r>
      <w:proofErr w:type="spellEnd"/>
      <w:r w:rsidR="004A2485" w:rsidRPr="00911E95">
        <w:rPr>
          <w:rFonts w:eastAsia="TimesNewRomanPSMT"/>
          <w:lang w:eastAsia="en-US"/>
        </w:rPr>
        <w:t xml:space="preserve">. Žádný právní předpis ani opatření poskytovatele v současnosti nebrání subjektům se sídlem v Ústeckém kraji, Moravskoslezském kraji či Karlovarském kraji v účasti v soutěžích v rámci programů TA ČR a dalších poskytovatelů. V programech TA ČR jsou již nyní uchazeči ze strukturálně postižených regionů bonifikovány. Materiál také neuvádí, zda by zároveň byli uchazeči z těchto krajů vyloučeni z účasti ve stávajících veřejných soutěžích či nikoliv. Pokud by se mohli účastnit jak regionálně specifických programů, tak stávajících veřejných soutěží </w:t>
      </w:r>
      <w:proofErr w:type="spellStart"/>
      <w:r w:rsidR="004A2485" w:rsidRPr="00911E95">
        <w:rPr>
          <w:rFonts w:eastAsia="TimesNewRomanPSMT"/>
          <w:lang w:eastAsia="en-US"/>
        </w:rPr>
        <w:t>VaVaI</w:t>
      </w:r>
      <w:proofErr w:type="spellEnd"/>
      <w:r w:rsidR="004A2485" w:rsidRPr="00911E95">
        <w:rPr>
          <w:rFonts w:eastAsia="TimesNewRomanPSMT"/>
          <w:lang w:eastAsia="en-US"/>
        </w:rPr>
        <w:t>, jednalo by se o dvojí zvýhodnění těchto subjektů. Pokud tomu tak nebude tak výsledkem bude podpora nerovné konkurence a vysoká pravděpodobnost dvojího financování projektů. Řešením by bylo bodové zvýhodnění projektů s místem realizace ve st</w:t>
      </w:r>
      <w:r w:rsidR="004A2485">
        <w:rPr>
          <w:rFonts w:eastAsia="TimesNewRomanPSMT"/>
          <w:lang w:eastAsia="en-US"/>
        </w:rPr>
        <w:t>rukturálně postižených krajích.</w:t>
      </w:r>
      <w:r w:rsidR="001C5BBB">
        <w:rPr>
          <w:rFonts w:eastAsia="TimesNewRomanPSMT"/>
          <w:lang w:eastAsia="en-US"/>
        </w:rPr>
        <w:t xml:space="preserve"> Upozorňujeme rovněž, že regionalizace ve výzvách resp. veřejných soutěžích nemá oporu ani ve stávající Strategii</w:t>
      </w:r>
      <w:r w:rsidR="001C5BBB" w:rsidRPr="001C5BBB">
        <w:rPr>
          <w:rFonts w:eastAsia="TimesNewRomanPSMT"/>
          <w:lang w:eastAsia="en-US"/>
        </w:rPr>
        <w:t xml:space="preserve"> regionálního rozvoje ČR 2014-2020</w:t>
      </w:r>
      <w:r w:rsidR="001C5BBB">
        <w:rPr>
          <w:rFonts w:eastAsia="TimesNewRomanPSMT"/>
          <w:lang w:eastAsia="en-US"/>
        </w:rPr>
        <w:t>.</w:t>
      </w:r>
    </w:p>
    <w:p w14:paraId="01D4F4F0" w14:textId="5989F984" w:rsidR="000F08F9" w:rsidRPr="00CE480E" w:rsidRDefault="000F08F9" w:rsidP="000F08F9">
      <w:pPr>
        <w:spacing w:line="240" w:lineRule="auto"/>
        <w:jc w:val="both"/>
        <w:rPr>
          <w:rFonts w:ascii="Arial" w:hAnsi="Arial" w:cs="Arial"/>
        </w:rPr>
      </w:pPr>
    </w:p>
    <w:p w14:paraId="0F9D14B4" w14:textId="67B1DAB9" w:rsidR="00D2440F" w:rsidRPr="00CE480E" w:rsidRDefault="00D234CF" w:rsidP="00C04DA0">
      <w:pPr>
        <w:pStyle w:val="Odstavecseseznamem"/>
        <w:numPr>
          <w:ilvl w:val="0"/>
          <w:numId w:val="5"/>
        </w:numPr>
        <w:spacing w:line="240" w:lineRule="auto"/>
        <w:jc w:val="both"/>
        <w:rPr>
          <w:rFonts w:ascii="Arial" w:hAnsi="Arial" w:cs="Arial"/>
          <w:b/>
          <w:color w:val="548DD4" w:themeColor="text2" w:themeTint="99"/>
          <w:sz w:val="24"/>
          <w:szCs w:val="24"/>
          <w:shd w:val="clear" w:color="auto" w:fill="FFFFFF"/>
        </w:rPr>
      </w:pPr>
      <w:r w:rsidRPr="00CE480E">
        <w:rPr>
          <w:rFonts w:ascii="Arial" w:hAnsi="Arial" w:cs="Arial"/>
          <w:b/>
          <w:color w:val="548DD4" w:themeColor="text2" w:themeTint="99"/>
          <w:sz w:val="24"/>
          <w:szCs w:val="24"/>
          <w:shd w:val="clear" w:color="auto" w:fill="FFFFFF"/>
        </w:rPr>
        <w:t>Způsob projednání materiálu</w:t>
      </w:r>
    </w:p>
    <w:p w14:paraId="18300852" w14:textId="3941BE1C" w:rsidR="00D2440F" w:rsidRPr="00CE480E" w:rsidRDefault="00D2440F" w:rsidP="00C04DA0">
      <w:pPr>
        <w:spacing w:line="240" w:lineRule="auto"/>
        <w:jc w:val="both"/>
        <w:rPr>
          <w:rFonts w:ascii="Arial" w:hAnsi="Arial" w:cs="Arial"/>
          <w:shd w:val="clear" w:color="auto" w:fill="FFFFFF"/>
        </w:rPr>
      </w:pPr>
      <w:r w:rsidRPr="00CE480E">
        <w:rPr>
          <w:rFonts w:ascii="Arial" w:hAnsi="Arial" w:cs="Arial"/>
          <w:shd w:val="clear" w:color="auto" w:fill="FFFFFF"/>
        </w:rPr>
        <w:t>Rada zpracov</w:t>
      </w:r>
      <w:r w:rsidR="009E3C99" w:rsidRPr="00CE480E">
        <w:rPr>
          <w:rFonts w:ascii="Arial" w:hAnsi="Arial" w:cs="Arial"/>
          <w:shd w:val="clear" w:color="auto" w:fill="FFFFFF"/>
        </w:rPr>
        <w:t>ala stanovisko k materiálu</w:t>
      </w:r>
      <w:r w:rsidRPr="00CE480E">
        <w:rPr>
          <w:rFonts w:ascii="Arial" w:hAnsi="Arial" w:cs="Arial"/>
          <w:shd w:val="clear" w:color="auto" w:fill="FFFFFF"/>
        </w:rPr>
        <w:t xml:space="preserve"> na základě § 35 odst. 2 písm. i) zákona č.</w:t>
      </w:r>
      <w:r w:rsidR="00F10ECB" w:rsidRPr="00CE480E">
        <w:rPr>
          <w:rFonts w:ascii="Arial" w:hAnsi="Arial" w:cs="Arial"/>
          <w:shd w:val="clear" w:color="auto" w:fill="FFFFFF"/>
        </w:rPr>
        <w:t> </w:t>
      </w:r>
      <w:r w:rsidRPr="00CE480E">
        <w:rPr>
          <w:rFonts w:ascii="Arial" w:hAnsi="Arial" w:cs="Arial"/>
          <w:shd w:val="clear" w:color="auto" w:fill="FFFFFF"/>
        </w:rPr>
        <w:t>130/2002 Sb., o podpoře výzkumu, experimentálního vývoje a inovací z veřejných prostředků a o změně některých souvisejících zákonů (zákon o podpoře výzkumu, experimentálního vývoje a inovací), ve znění pozdějších předpisů.</w:t>
      </w:r>
    </w:p>
    <w:p w14:paraId="20EBA471" w14:textId="7A784E80" w:rsidR="00DE15D1" w:rsidRPr="00CE480E" w:rsidRDefault="009E3C99" w:rsidP="00EC464D">
      <w:pPr>
        <w:spacing w:line="240" w:lineRule="auto"/>
        <w:jc w:val="both"/>
        <w:rPr>
          <w:rFonts w:ascii="Arial" w:hAnsi="Arial" w:cs="Arial"/>
          <w:shd w:val="clear" w:color="auto" w:fill="FFFFFF"/>
        </w:rPr>
      </w:pPr>
      <w:r w:rsidRPr="00CE480E">
        <w:rPr>
          <w:rFonts w:ascii="Arial" w:hAnsi="Arial" w:cs="Arial"/>
          <w:shd w:val="clear" w:color="auto" w:fill="FFFFFF"/>
        </w:rPr>
        <w:t>Návrh stanoviska k materiálu</w:t>
      </w:r>
      <w:r w:rsidR="00D2440F" w:rsidRPr="00CE480E">
        <w:rPr>
          <w:rFonts w:ascii="Arial" w:hAnsi="Arial" w:cs="Arial"/>
          <w:shd w:val="clear" w:color="auto" w:fill="FFFFFF"/>
        </w:rPr>
        <w:t xml:space="preserve"> byl projednán </w:t>
      </w:r>
      <w:r w:rsidR="005574F7" w:rsidRPr="00CE480E">
        <w:rPr>
          <w:rFonts w:ascii="Arial" w:hAnsi="Arial" w:cs="Arial"/>
          <w:shd w:val="clear" w:color="auto" w:fill="FFFFFF"/>
        </w:rPr>
        <w:t xml:space="preserve">a schválen </w:t>
      </w:r>
      <w:r w:rsidR="00D2440F" w:rsidRPr="00CE480E">
        <w:rPr>
          <w:rFonts w:ascii="Arial" w:hAnsi="Arial" w:cs="Arial"/>
          <w:shd w:val="clear" w:color="auto" w:fill="FFFFFF"/>
        </w:rPr>
        <w:t xml:space="preserve">na </w:t>
      </w:r>
      <w:r w:rsidR="00D234CF" w:rsidRPr="00CE480E">
        <w:rPr>
          <w:rFonts w:ascii="Arial" w:hAnsi="Arial" w:cs="Arial"/>
          <w:shd w:val="clear" w:color="auto" w:fill="FFFFFF"/>
        </w:rPr>
        <w:t>327</w:t>
      </w:r>
      <w:r w:rsidR="005574F7" w:rsidRPr="00CE480E">
        <w:rPr>
          <w:rFonts w:ascii="Arial" w:hAnsi="Arial" w:cs="Arial"/>
          <w:shd w:val="clear" w:color="auto" w:fill="FFFFFF"/>
        </w:rPr>
        <w:t>.</w:t>
      </w:r>
      <w:r w:rsidR="00D2440F" w:rsidRPr="00CE480E">
        <w:rPr>
          <w:rFonts w:ascii="Arial" w:hAnsi="Arial" w:cs="Arial"/>
          <w:shd w:val="clear" w:color="auto" w:fill="FFFFFF"/>
        </w:rPr>
        <w:t xml:space="preserve"> zasedání Rady dne </w:t>
      </w:r>
      <w:r w:rsidR="00D234CF" w:rsidRPr="00CE480E">
        <w:rPr>
          <w:rFonts w:ascii="Arial" w:hAnsi="Arial" w:cs="Arial"/>
          <w:shd w:val="clear" w:color="auto" w:fill="FFFFFF"/>
        </w:rPr>
        <w:t>30. června</w:t>
      </w:r>
      <w:r w:rsidR="005574F7" w:rsidRPr="00CE480E">
        <w:rPr>
          <w:rFonts w:ascii="Arial" w:hAnsi="Arial" w:cs="Arial"/>
          <w:shd w:val="clear" w:color="auto" w:fill="FFFFFF"/>
        </w:rPr>
        <w:t xml:space="preserve"> 2017.</w:t>
      </w:r>
    </w:p>
    <w:p w14:paraId="35D6B030" w14:textId="77777777" w:rsidR="0020310B" w:rsidRPr="00CE480E" w:rsidRDefault="00157F24" w:rsidP="0020310B">
      <w:pPr>
        <w:pStyle w:val="Nadpis2"/>
        <w:numPr>
          <w:ilvl w:val="0"/>
          <w:numId w:val="5"/>
        </w:numPr>
        <w:spacing w:before="0" w:after="120" w:line="240" w:lineRule="auto"/>
        <w:jc w:val="both"/>
        <w:rPr>
          <w:rFonts w:ascii="Arial" w:hAnsi="Arial" w:cs="Arial"/>
          <w:color w:val="548DD4" w:themeColor="text2" w:themeTint="99"/>
          <w:sz w:val="24"/>
          <w:szCs w:val="24"/>
        </w:rPr>
      </w:pPr>
      <w:r w:rsidRPr="00CE480E">
        <w:rPr>
          <w:rFonts w:ascii="Arial" w:hAnsi="Arial" w:cs="Arial"/>
          <w:color w:val="548DD4" w:themeColor="text2" w:themeTint="99"/>
          <w:sz w:val="24"/>
          <w:szCs w:val="24"/>
        </w:rPr>
        <w:t>Připomínky a doporučení Rady</w:t>
      </w:r>
    </w:p>
    <w:p w14:paraId="455B1F94" w14:textId="48ED5436" w:rsidR="006172DA" w:rsidRPr="00CE480E" w:rsidRDefault="006172DA" w:rsidP="0020310B">
      <w:pPr>
        <w:pStyle w:val="Nadpis2"/>
        <w:spacing w:before="0" w:after="120" w:line="240" w:lineRule="auto"/>
        <w:jc w:val="both"/>
        <w:rPr>
          <w:rFonts w:ascii="Arial" w:hAnsi="Arial" w:cs="Arial"/>
          <w:color w:val="auto"/>
          <w:sz w:val="24"/>
          <w:szCs w:val="24"/>
        </w:rPr>
      </w:pPr>
      <w:r w:rsidRPr="00CE480E">
        <w:rPr>
          <w:rFonts w:ascii="Arial" w:hAnsi="Arial" w:cs="Arial"/>
          <w:color w:val="auto"/>
          <w:sz w:val="24"/>
          <w:szCs w:val="24"/>
        </w:rPr>
        <w:t>Zásadní připomínky:</w:t>
      </w:r>
    </w:p>
    <w:p w14:paraId="2FC62C32" w14:textId="067FB4AE" w:rsidR="004A2485" w:rsidRDefault="004A2485" w:rsidP="004A2485">
      <w:pPr>
        <w:pStyle w:val="Tlotextu"/>
        <w:numPr>
          <w:ilvl w:val="0"/>
          <w:numId w:val="31"/>
        </w:numPr>
        <w:spacing w:before="0" w:after="120" w:line="240" w:lineRule="auto"/>
        <w:ind w:left="360"/>
        <w:rPr>
          <w:rFonts w:eastAsia="TimesNewRomanPSMT"/>
          <w:lang w:eastAsia="en-US"/>
        </w:rPr>
      </w:pPr>
      <w:r w:rsidRPr="004A2485">
        <w:rPr>
          <w:rFonts w:eastAsia="TimesNewRomanPSMT"/>
          <w:lang w:eastAsia="en-US"/>
        </w:rPr>
        <w:t>V akčním plánu se předjímá realizace projektů, které však musí nejprve projít schvalovacím procesem. U těchto projektů jsou dokonce uváděni gestoři z řad jednotlivých resortů. Není zřejmé, co je v tomto kontextu pojmem gestor míněno a jaká je jeho role. Rada požaduje tuto kolonku u navrhovaných projektů odstranit.</w:t>
      </w:r>
    </w:p>
    <w:p w14:paraId="58456A22" w14:textId="778C300E" w:rsidR="00D61F60" w:rsidRPr="00CE480E" w:rsidRDefault="000020DF" w:rsidP="00911E95">
      <w:pPr>
        <w:pStyle w:val="Tlotextu"/>
        <w:numPr>
          <w:ilvl w:val="0"/>
          <w:numId w:val="31"/>
        </w:numPr>
        <w:spacing w:before="0" w:after="120" w:line="240" w:lineRule="auto"/>
        <w:ind w:left="360"/>
        <w:rPr>
          <w:rFonts w:eastAsia="TimesNewRomanPSMT"/>
          <w:lang w:eastAsia="en-US"/>
        </w:rPr>
      </w:pPr>
      <w:r w:rsidRPr="00CE480E">
        <w:rPr>
          <w:rFonts w:eastAsia="TimesNewRomanPSMT"/>
          <w:lang w:eastAsia="en-US"/>
        </w:rPr>
        <w:t xml:space="preserve">Rada požaduje v návrhu usnesení vlády explicitně uvést, že schválením materiálu nebude dotčen státní rozpočet na výzkum, vývoj a inovace připravovaný podle </w:t>
      </w:r>
      <w:r w:rsidRPr="00CE480E">
        <w:rPr>
          <w:rFonts w:eastAsia="TimesNewRomanPSMT"/>
          <w:lang w:eastAsia="en-US"/>
        </w:rPr>
        <w:lastRenderedPageBreak/>
        <w:t xml:space="preserve">zákona o podpoře výzkumu, experimentálního vývoje a inovací (zejména je nutné uvést, že nebudou dotčeny limity výdajů na </w:t>
      </w:r>
      <w:proofErr w:type="spellStart"/>
      <w:r w:rsidRPr="00CE480E">
        <w:rPr>
          <w:rFonts w:eastAsia="TimesNewRomanPSMT"/>
          <w:lang w:eastAsia="en-US"/>
        </w:rPr>
        <w:t>VaVaI</w:t>
      </w:r>
      <w:proofErr w:type="spellEnd"/>
      <w:r w:rsidRPr="00CE480E">
        <w:rPr>
          <w:rFonts w:eastAsia="TimesNewRomanPSMT"/>
          <w:lang w:eastAsia="en-US"/>
        </w:rPr>
        <w:t xml:space="preserve"> schválené usnesením vlády č.</w:t>
      </w:r>
      <w:r w:rsidR="00645F82" w:rsidRPr="00CE480E">
        <w:rPr>
          <w:rFonts w:eastAsia="TimesNewRomanPSMT"/>
          <w:lang w:eastAsia="en-US"/>
        </w:rPr>
        <w:t> </w:t>
      </w:r>
      <w:r w:rsidRPr="00CE480E">
        <w:rPr>
          <w:rFonts w:eastAsia="TimesNewRomanPSMT"/>
          <w:lang w:eastAsia="en-US"/>
        </w:rPr>
        <w:t>477 ze dne 30. 5. 2016). Současně upozorňujeme, že na jednání vlády je aktuálně projednáván návrh výdajů státního rozpočtu České republiky na výzkum, experimentální vývoj a inovace na rok 2018 se střednědobým výhledem na léta 2019 a 2020 a dlouhodobým výhledem do roku 2024.</w:t>
      </w:r>
      <w:r w:rsidR="00D61F60" w:rsidRPr="00CE480E">
        <w:rPr>
          <w:rFonts w:eastAsia="TimesNewRomanPSMT"/>
          <w:lang w:eastAsia="en-US"/>
        </w:rPr>
        <w:t> </w:t>
      </w:r>
    </w:p>
    <w:p w14:paraId="2CC26758" w14:textId="77777777" w:rsidR="000020DF" w:rsidRPr="00CE480E" w:rsidRDefault="000020DF" w:rsidP="001368A1">
      <w:pPr>
        <w:pStyle w:val="Tlotextu"/>
        <w:spacing w:line="240" w:lineRule="auto"/>
        <w:ind w:left="360"/>
        <w:rPr>
          <w:rFonts w:eastAsia="TimesNewRomanPSMT"/>
          <w:lang w:eastAsia="en-US"/>
        </w:rPr>
      </w:pPr>
      <w:r w:rsidRPr="00CE480E">
        <w:rPr>
          <w:rFonts w:eastAsia="TimesNewRomanPSMT"/>
          <w:lang w:eastAsia="en-US"/>
        </w:rPr>
        <w:t>Odůvodnění:</w:t>
      </w:r>
    </w:p>
    <w:p w14:paraId="132A11B6" w14:textId="39036BF8" w:rsidR="000020DF" w:rsidRPr="00CE480E" w:rsidRDefault="000020DF" w:rsidP="001368A1">
      <w:pPr>
        <w:pStyle w:val="Tlotextu"/>
        <w:spacing w:before="0" w:after="120" w:line="240" w:lineRule="auto"/>
        <w:ind w:left="360"/>
        <w:rPr>
          <w:rFonts w:eastAsia="TimesNewRomanPSMT"/>
          <w:lang w:eastAsia="en-US"/>
        </w:rPr>
      </w:pPr>
      <w:r w:rsidRPr="00CE480E">
        <w:rPr>
          <w:rFonts w:eastAsia="TimesNewRomanPSMT"/>
          <w:lang w:eastAsia="en-US"/>
        </w:rPr>
        <w:t xml:space="preserve">Předkládaný materiál obsahuje opatření potenciálně kladoucí zvýšené nároky na státní rozpočet na </w:t>
      </w:r>
      <w:proofErr w:type="spellStart"/>
      <w:r w:rsidRPr="00CE480E">
        <w:rPr>
          <w:rFonts w:eastAsia="TimesNewRomanPSMT"/>
          <w:lang w:eastAsia="en-US"/>
        </w:rPr>
        <w:t>VaVaI</w:t>
      </w:r>
      <w:proofErr w:type="spellEnd"/>
      <w:r w:rsidRPr="00CE480E">
        <w:rPr>
          <w:rFonts w:eastAsia="TimesNewRomanPSMT"/>
          <w:lang w:eastAsia="en-US"/>
        </w:rPr>
        <w:t xml:space="preserve">. K uvedenému doplňujeme, že podle § 2 odst. 2 zákona o podpoře výzkumu, experimentálního vývoje a inovací mohou být poskytovatelem podpory na </w:t>
      </w:r>
      <w:proofErr w:type="spellStart"/>
      <w:r w:rsidRPr="00CE480E">
        <w:rPr>
          <w:rFonts w:eastAsia="TimesNewRomanPSMT"/>
          <w:lang w:eastAsia="en-US"/>
        </w:rPr>
        <w:t>VaVaI</w:t>
      </w:r>
      <w:proofErr w:type="spellEnd"/>
      <w:r w:rsidRPr="00CE480E">
        <w:rPr>
          <w:rFonts w:eastAsia="TimesNewRomanPSMT"/>
          <w:lang w:eastAsia="en-US"/>
        </w:rPr>
        <w:t xml:space="preserve"> rovněž územní samosprávné celky, přičemž s touto možností není v materiálu pracováno.</w:t>
      </w:r>
    </w:p>
    <w:p w14:paraId="078F86D7" w14:textId="29AC3565" w:rsidR="00BA40EE" w:rsidRPr="00CE480E" w:rsidRDefault="000020DF" w:rsidP="001368A1">
      <w:pPr>
        <w:pStyle w:val="Odstavecseseznamem"/>
        <w:numPr>
          <w:ilvl w:val="0"/>
          <w:numId w:val="31"/>
        </w:numPr>
        <w:spacing w:line="240" w:lineRule="auto"/>
        <w:ind w:left="360"/>
        <w:jc w:val="both"/>
        <w:rPr>
          <w:rFonts w:ascii="Arial" w:eastAsia="TimesNewRomanPSMT" w:hAnsi="Arial" w:cs="Arial"/>
          <w:sz w:val="24"/>
          <w:szCs w:val="24"/>
          <w:lang w:eastAsia="en-US"/>
        </w:rPr>
      </w:pPr>
      <w:r w:rsidRPr="00CE480E">
        <w:rPr>
          <w:rFonts w:ascii="Arial" w:eastAsia="TimesNewRomanPSMT" w:hAnsi="Arial" w:cs="Arial"/>
          <w:sz w:val="24"/>
          <w:szCs w:val="24"/>
          <w:lang w:eastAsia="en-US"/>
        </w:rPr>
        <w:t xml:space="preserve">K opatřením pilířů A </w:t>
      </w:r>
      <w:proofErr w:type="spellStart"/>
      <w:r w:rsidRPr="00CE480E">
        <w:rPr>
          <w:rFonts w:ascii="Arial" w:eastAsia="TimesNewRomanPSMT" w:hAnsi="Arial" w:cs="Arial"/>
          <w:sz w:val="24"/>
          <w:szCs w:val="24"/>
          <w:lang w:eastAsia="en-US"/>
        </w:rPr>
        <w:t>a</w:t>
      </w:r>
      <w:proofErr w:type="spellEnd"/>
      <w:r w:rsidRPr="00CE480E">
        <w:rPr>
          <w:rFonts w:ascii="Arial" w:eastAsia="TimesNewRomanPSMT" w:hAnsi="Arial" w:cs="Arial"/>
          <w:sz w:val="24"/>
          <w:szCs w:val="24"/>
          <w:lang w:eastAsia="en-US"/>
        </w:rPr>
        <w:t xml:space="preserve"> C –  Rada požaduje některé úkoly přeformulovat, aby vedly k motivaci subjektů v daných územně samosprávných celcích k účasti ve stávajících soutěžích </w:t>
      </w:r>
      <w:proofErr w:type="spellStart"/>
      <w:r w:rsidRPr="00CE480E">
        <w:rPr>
          <w:rFonts w:ascii="Arial" w:eastAsia="TimesNewRomanPSMT" w:hAnsi="Arial" w:cs="Arial"/>
          <w:sz w:val="24"/>
          <w:szCs w:val="24"/>
          <w:lang w:eastAsia="en-US"/>
        </w:rPr>
        <w:t>VaVaI</w:t>
      </w:r>
      <w:proofErr w:type="spellEnd"/>
      <w:r w:rsidRPr="00CE480E">
        <w:rPr>
          <w:rFonts w:ascii="Arial" w:eastAsia="TimesNewRomanPSMT" w:hAnsi="Arial" w:cs="Arial"/>
          <w:sz w:val="24"/>
          <w:szCs w:val="24"/>
          <w:lang w:eastAsia="en-US"/>
        </w:rPr>
        <w:t xml:space="preserve"> z hlediska věcného, nikoliv z hlediska sídla příjemce v daném kraji (tato připomínka platí pro všechny úkoly pro poskytovatele týkající se přípravy či úpravy programů </w:t>
      </w:r>
      <w:proofErr w:type="spellStart"/>
      <w:r w:rsidRPr="00CE480E">
        <w:rPr>
          <w:rFonts w:ascii="Arial" w:eastAsia="TimesNewRomanPSMT" w:hAnsi="Arial" w:cs="Arial"/>
          <w:sz w:val="24"/>
          <w:szCs w:val="24"/>
          <w:lang w:eastAsia="en-US"/>
        </w:rPr>
        <w:t>VaVaI</w:t>
      </w:r>
      <w:proofErr w:type="spellEnd"/>
      <w:r w:rsidRPr="00CE480E">
        <w:rPr>
          <w:rFonts w:ascii="Arial" w:eastAsia="TimesNewRomanPSMT" w:hAnsi="Arial" w:cs="Arial"/>
          <w:sz w:val="24"/>
          <w:szCs w:val="24"/>
          <w:lang w:eastAsia="en-US"/>
        </w:rPr>
        <w:t xml:space="preserve">; současně je nutno zohlednit legislativní omezení veřejné podpory </w:t>
      </w:r>
      <w:proofErr w:type="spellStart"/>
      <w:r w:rsidRPr="00CE480E">
        <w:rPr>
          <w:rFonts w:ascii="Arial" w:eastAsia="TimesNewRomanPSMT" w:hAnsi="Arial" w:cs="Arial"/>
          <w:sz w:val="24"/>
          <w:szCs w:val="24"/>
          <w:lang w:eastAsia="en-US"/>
        </w:rPr>
        <w:t>VaVaI</w:t>
      </w:r>
      <w:proofErr w:type="spellEnd"/>
      <w:r w:rsidRPr="00CE480E">
        <w:rPr>
          <w:rFonts w:ascii="Arial" w:eastAsia="TimesNewRomanPSMT" w:hAnsi="Arial" w:cs="Arial"/>
          <w:sz w:val="24"/>
          <w:szCs w:val="24"/>
          <w:lang w:eastAsia="en-US"/>
        </w:rPr>
        <w:t>).</w:t>
      </w:r>
      <w:r w:rsidR="00432E66" w:rsidRPr="00CE480E">
        <w:rPr>
          <w:rFonts w:ascii="Arial" w:eastAsia="TimesNewRomanPSMT" w:hAnsi="Arial" w:cs="Arial"/>
          <w:sz w:val="24"/>
          <w:szCs w:val="24"/>
          <w:lang w:eastAsia="en-US"/>
        </w:rPr>
        <w:t xml:space="preserve"> Rada zásadně nesouhlasí s vytvářením regionálně omezených veřejných soutěží.</w:t>
      </w:r>
    </w:p>
    <w:p w14:paraId="14982967" w14:textId="77777777" w:rsidR="0069370B" w:rsidRPr="00CE480E" w:rsidRDefault="0069370B" w:rsidP="001368A1">
      <w:pPr>
        <w:pStyle w:val="Odstavecseseznamem"/>
        <w:spacing w:line="240" w:lineRule="auto"/>
        <w:ind w:left="360"/>
        <w:jc w:val="both"/>
        <w:rPr>
          <w:rFonts w:ascii="Arial" w:eastAsia="TimesNewRomanPSMT" w:hAnsi="Arial" w:cs="Arial"/>
          <w:sz w:val="24"/>
          <w:szCs w:val="24"/>
          <w:lang w:eastAsia="en-US"/>
        </w:rPr>
      </w:pPr>
    </w:p>
    <w:p w14:paraId="6D087868" w14:textId="77777777" w:rsidR="0069370B" w:rsidRPr="00CE480E" w:rsidRDefault="0069370B" w:rsidP="001368A1">
      <w:pPr>
        <w:pStyle w:val="Odstavecseseznamem"/>
        <w:spacing w:line="240" w:lineRule="auto"/>
        <w:ind w:left="360"/>
        <w:jc w:val="both"/>
        <w:rPr>
          <w:rFonts w:ascii="Arial" w:eastAsia="TimesNewRomanPSMT" w:hAnsi="Arial" w:cs="Arial"/>
          <w:sz w:val="24"/>
          <w:szCs w:val="24"/>
          <w:lang w:eastAsia="en-US"/>
        </w:rPr>
      </w:pPr>
      <w:r w:rsidRPr="00CE480E">
        <w:rPr>
          <w:rFonts w:ascii="Arial" w:eastAsia="TimesNewRomanPSMT" w:hAnsi="Arial" w:cs="Arial"/>
          <w:sz w:val="24"/>
          <w:szCs w:val="24"/>
          <w:lang w:eastAsia="en-US"/>
        </w:rPr>
        <w:t>Odůvodnění:</w:t>
      </w:r>
    </w:p>
    <w:p w14:paraId="6BDB54CA" w14:textId="72D276EB" w:rsidR="0069370B" w:rsidRPr="00CE480E" w:rsidRDefault="0069370B" w:rsidP="001368A1">
      <w:pPr>
        <w:pStyle w:val="Odstavecseseznamem"/>
        <w:spacing w:line="240" w:lineRule="auto"/>
        <w:ind w:left="360"/>
        <w:jc w:val="both"/>
        <w:rPr>
          <w:rFonts w:ascii="Arial" w:eastAsia="TimesNewRomanPSMT" w:hAnsi="Arial" w:cs="Arial"/>
          <w:sz w:val="24"/>
          <w:szCs w:val="24"/>
          <w:lang w:eastAsia="en-US"/>
        </w:rPr>
      </w:pPr>
      <w:r w:rsidRPr="00CE480E">
        <w:rPr>
          <w:rFonts w:ascii="Arial" w:eastAsia="TimesNewRomanPSMT" w:hAnsi="Arial" w:cs="Arial"/>
          <w:sz w:val="24"/>
          <w:szCs w:val="24"/>
          <w:lang w:eastAsia="en-US"/>
        </w:rPr>
        <w:t xml:space="preserve">Opatření v pilíři A – Podnikání a inovace týkající se návaznosti na program TRIO poskytovatele MPO a opatření v Pilíři C – Výzkum a vývoj (a k nim náležející podrobné popisy) jsou v rozporu s Národní politikou </w:t>
      </w:r>
      <w:proofErr w:type="spellStart"/>
      <w:r w:rsidRPr="00CE480E">
        <w:rPr>
          <w:rFonts w:ascii="Arial" w:eastAsia="TimesNewRomanPSMT" w:hAnsi="Arial" w:cs="Arial"/>
          <w:sz w:val="24"/>
          <w:szCs w:val="24"/>
          <w:lang w:eastAsia="en-US"/>
        </w:rPr>
        <w:t>VaVaI</w:t>
      </w:r>
      <w:proofErr w:type="spellEnd"/>
      <w:r w:rsidRPr="00CE480E">
        <w:rPr>
          <w:rFonts w:ascii="Arial" w:eastAsia="TimesNewRomanPSMT" w:hAnsi="Arial" w:cs="Arial"/>
          <w:sz w:val="24"/>
          <w:szCs w:val="24"/>
          <w:lang w:eastAsia="en-US"/>
        </w:rPr>
        <w:t xml:space="preserve"> ČR (dále jen „NP </w:t>
      </w:r>
      <w:proofErr w:type="spellStart"/>
      <w:r w:rsidRPr="00CE480E">
        <w:rPr>
          <w:rFonts w:ascii="Arial" w:eastAsia="TimesNewRomanPSMT" w:hAnsi="Arial" w:cs="Arial"/>
          <w:sz w:val="24"/>
          <w:szCs w:val="24"/>
          <w:lang w:eastAsia="en-US"/>
        </w:rPr>
        <w:t>VaVaI</w:t>
      </w:r>
      <w:proofErr w:type="spellEnd"/>
      <w:r w:rsidRPr="00CE480E">
        <w:rPr>
          <w:rFonts w:ascii="Arial" w:eastAsia="TimesNewRomanPSMT" w:hAnsi="Arial" w:cs="Arial"/>
          <w:sz w:val="24"/>
          <w:szCs w:val="24"/>
          <w:lang w:eastAsia="en-US"/>
        </w:rPr>
        <w:t>“). Programy byly připraveny a vládou schváleny jako národní a jedná se o</w:t>
      </w:r>
      <w:r w:rsidR="00645F82" w:rsidRPr="00CE480E">
        <w:rPr>
          <w:rFonts w:ascii="Arial" w:eastAsia="TimesNewRomanPSMT" w:hAnsi="Arial" w:cs="Arial"/>
          <w:sz w:val="24"/>
          <w:szCs w:val="24"/>
          <w:lang w:eastAsia="en-US"/>
        </w:rPr>
        <w:t> </w:t>
      </w:r>
      <w:r w:rsidRPr="00CE480E">
        <w:rPr>
          <w:rFonts w:ascii="Arial" w:eastAsia="TimesNewRomanPSMT" w:hAnsi="Arial" w:cs="Arial"/>
          <w:sz w:val="24"/>
          <w:szCs w:val="24"/>
          <w:lang w:eastAsia="en-US"/>
        </w:rPr>
        <w:t xml:space="preserve">nástroje plnění NP </w:t>
      </w:r>
      <w:proofErr w:type="spellStart"/>
      <w:r w:rsidRPr="00CE480E">
        <w:rPr>
          <w:rFonts w:ascii="Arial" w:eastAsia="TimesNewRomanPSMT" w:hAnsi="Arial" w:cs="Arial"/>
          <w:sz w:val="24"/>
          <w:szCs w:val="24"/>
          <w:lang w:eastAsia="en-US"/>
        </w:rPr>
        <w:t>VaVaI</w:t>
      </w:r>
      <w:proofErr w:type="spellEnd"/>
      <w:r w:rsidRPr="00CE480E">
        <w:rPr>
          <w:rFonts w:ascii="Arial" w:eastAsia="TimesNewRomanPSMT" w:hAnsi="Arial" w:cs="Arial"/>
          <w:sz w:val="24"/>
          <w:szCs w:val="24"/>
          <w:lang w:eastAsia="en-US"/>
        </w:rPr>
        <w:t>. Regionálně specifické výzvy (dle účelu zákona o</w:t>
      </w:r>
      <w:r w:rsidR="00645F82" w:rsidRPr="00CE480E">
        <w:rPr>
          <w:rFonts w:ascii="Arial" w:eastAsia="TimesNewRomanPSMT" w:hAnsi="Arial" w:cs="Arial"/>
          <w:sz w:val="24"/>
          <w:szCs w:val="24"/>
          <w:lang w:eastAsia="en-US"/>
        </w:rPr>
        <w:t> </w:t>
      </w:r>
      <w:r w:rsidRPr="00CE480E">
        <w:rPr>
          <w:rFonts w:ascii="Arial" w:eastAsia="TimesNewRomanPSMT" w:hAnsi="Arial" w:cs="Arial"/>
          <w:sz w:val="24"/>
          <w:szCs w:val="24"/>
          <w:lang w:eastAsia="en-US"/>
        </w:rPr>
        <w:t xml:space="preserve">podpoře výzkumu, experimentálního vývoje a inovací se jedná o veřejné soutěže ve </w:t>
      </w:r>
      <w:proofErr w:type="spellStart"/>
      <w:r w:rsidRPr="00CE480E">
        <w:rPr>
          <w:rFonts w:ascii="Arial" w:eastAsia="TimesNewRomanPSMT" w:hAnsi="Arial" w:cs="Arial"/>
          <w:sz w:val="24"/>
          <w:szCs w:val="24"/>
          <w:lang w:eastAsia="en-US"/>
        </w:rPr>
        <w:t>VaVaI</w:t>
      </w:r>
      <w:proofErr w:type="spellEnd"/>
      <w:r w:rsidRPr="00CE480E">
        <w:rPr>
          <w:rFonts w:ascii="Arial" w:eastAsia="TimesNewRomanPSMT" w:hAnsi="Arial" w:cs="Arial"/>
          <w:sz w:val="24"/>
          <w:szCs w:val="24"/>
          <w:lang w:eastAsia="en-US"/>
        </w:rPr>
        <w:t xml:space="preserve">) v těchto programech jsou nepřípustné mimo jiné i proto, že ve smyslu rozpočtové odpovědnosti je nutno výzvy koncipovat jako národní. Věcné cíle mají být plněny účelně, hospodárně a efektivně, tj. těmi subjekty, které prokáží v návrhu projektu největší potenciál z hlediska věcného, nikoliv geografického. V část C.1 je jmenováno otevřenější </w:t>
      </w:r>
      <w:proofErr w:type="spellStart"/>
      <w:r w:rsidRPr="00CE480E">
        <w:rPr>
          <w:rFonts w:ascii="Arial" w:eastAsia="TimesNewRomanPSMT" w:hAnsi="Arial" w:cs="Arial"/>
          <w:sz w:val="24"/>
          <w:szCs w:val="24"/>
          <w:lang w:eastAsia="en-US"/>
        </w:rPr>
        <w:t>VaVaI</w:t>
      </w:r>
      <w:proofErr w:type="spellEnd"/>
      <w:r w:rsidRPr="00CE480E">
        <w:rPr>
          <w:rFonts w:ascii="Arial" w:eastAsia="TimesNewRomanPSMT" w:hAnsi="Arial" w:cs="Arial"/>
          <w:sz w:val="24"/>
          <w:szCs w:val="24"/>
          <w:lang w:eastAsia="en-US"/>
        </w:rPr>
        <w:t xml:space="preserve">, přesto se v dalším textu požaduje omezit výzvu na konkrétní region. Rovněž část C.2 nazvanou Výkonnější a atraktivnější </w:t>
      </w:r>
      <w:proofErr w:type="spellStart"/>
      <w:r w:rsidRPr="00CE480E">
        <w:rPr>
          <w:rFonts w:ascii="Arial" w:eastAsia="TimesNewRomanPSMT" w:hAnsi="Arial" w:cs="Arial"/>
          <w:sz w:val="24"/>
          <w:szCs w:val="24"/>
          <w:lang w:eastAsia="en-US"/>
        </w:rPr>
        <w:t>VaVaI</w:t>
      </w:r>
      <w:proofErr w:type="spellEnd"/>
      <w:r w:rsidRPr="00CE480E">
        <w:rPr>
          <w:rFonts w:ascii="Arial" w:eastAsia="TimesNewRomanPSMT" w:hAnsi="Arial" w:cs="Arial"/>
          <w:sz w:val="24"/>
          <w:szCs w:val="24"/>
          <w:lang w:eastAsia="en-US"/>
        </w:rPr>
        <w:t xml:space="preserve"> je nutno řešit na národní úrovni, jak to činí NP </w:t>
      </w:r>
      <w:proofErr w:type="spellStart"/>
      <w:r w:rsidRPr="00CE480E">
        <w:rPr>
          <w:rFonts w:ascii="Arial" w:eastAsia="TimesNewRomanPSMT" w:hAnsi="Arial" w:cs="Arial"/>
          <w:sz w:val="24"/>
          <w:szCs w:val="24"/>
          <w:lang w:eastAsia="en-US"/>
        </w:rPr>
        <w:t>VaVaI</w:t>
      </w:r>
      <w:proofErr w:type="spellEnd"/>
      <w:r w:rsidRPr="00CE480E">
        <w:rPr>
          <w:rFonts w:ascii="Arial" w:eastAsia="TimesNewRomanPSMT" w:hAnsi="Arial" w:cs="Arial"/>
          <w:sz w:val="24"/>
          <w:szCs w:val="24"/>
          <w:lang w:eastAsia="en-US"/>
        </w:rPr>
        <w:t xml:space="preserve">. Žádný právní předpis ani opatření poskytovatele v současnosti nebrání subjektům se sídlem v Ústeckém kraji, Moravskoslezském kraji či Karlovarském kraji v účasti v soutěžích v rámci programů TA ČR a dalších poskytovatelů. V programech TA ČR jsou již nyní uchazeči ze strukturálně postižených regionů bonifikovány. Materiál také neuvádí, zda by zároveň byli uchazeči z těchto krajů vyloučeni z účasti ve stávajících veřejných soutěžích či nikoliv. Pokud by se mohli účastnit jak regionálně specifických programů, tak stávajících veřejných soutěží </w:t>
      </w:r>
      <w:proofErr w:type="spellStart"/>
      <w:r w:rsidRPr="00CE480E">
        <w:rPr>
          <w:rFonts w:ascii="Arial" w:eastAsia="TimesNewRomanPSMT" w:hAnsi="Arial" w:cs="Arial"/>
          <w:sz w:val="24"/>
          <w:szCs w:val="24"/>
          <w:lang w:eastAsia="en-US"/>
        </w:rPr>
        <w:t>VaVaI</w:t>
      </w:r>
      <w:proofErr w:type="spellEnd"/>
      <w:r w:rsidRPr="00CE480E">
        <w:rPr>
          <w:rFonts w:ascii="Arial" w:eastAsia="TimesNewRomanPSMT" w:hAnsi="Arial" w:cs="Arial"/>
          <w:sz w:val="24"/>
          <w:szCs w:val="24"/>
          <w:lang w:eastAsia="en-US"/>
        </w:rPr>
        <w:t>, jednalo by se o dvojí zvýhodnění těchto subjektů.</w:t>
      </w:r>
      <w:r w:rsidR="00432E66" w:rsidRPr="00CE480E">
        <w:rPr>
          <w:rFonts w:ascii="Arial" w:eastAsia="TimesNewRomanPSMT" w:hAnsi="Arial" w:cs="Arial"/>
          <w:sz w:val="24"/>
          <w:szCs w:val="24"/>
          <w:lang w:eastAsia="en-US"/>
        </w:rPr>
        <w:t xml:space="preserve"> </w:t>
      </w:r>
    </w:p>
    <w:p w14:paraId="1D9DA4E1" w14:textId="77777777" w:rsidR="009E1C3E" w:rsidRPr="00CE480E" w:rsidRDefault="009E1C3E" w:rsidP="001368A1">
      <w:pPr>
        <w:pStyle w:val="Odstavecseseznamem"/>
        <w:spacing w:line="240" w:lineRule="auto"/>
        <w:ind w:left="360"/>
        <w:jc w:val="both"/>
        <w:rPr>
          <w:rFonts w:ascii="Arial" w:eastAsia="TimesNewRomanPSMT" w:hAnsi="Arial" w:cs="Arial"/>
          <w:sz w:val="24"/>
          <w:szCs w:val="24"/>
          <w:lang w:eastAsia="en-US"/>
        </w:rPr>
      </w:pPr>
    </w:p>
    <w:p w14:paraId="18007A41" w14:textId="603E8128" w:rsidR="009E1C3E" w:rsidRPr="00CE480E" w:rsidRDefault="009E1C3E" w:rsidP="001368A1">
      <w:pPr>
        <w:pStyle w:val="Odstavecseseznamem"/>
        <w:numPr>
          <w:ilvl w:val="0"/>
          <w:numId w:val="31"/>
        </w:numPr>
        <w:spacing w:line="240" w:lineRule="auto"/>
        <w:ind w:left="360"/>
        <w:jc w:val="both"/>
        <w:rPr>
          <w:rFonts w:ascii="Arial" w:eastAsia="TimesNewRomanPSMT" w:hAnsi="Arial" w:cs="Arial"/>
          <w:sz w:val="24"/>
          <w:szCs w:val="24"/>
          <w:lang w:eastAsia="en-US"/>
        </w:rPr>
      </w:pPr>
      <w:r w:rsidRPr="00CE480E">
        <w:rPr>
          <w:rFonts w:ascii="Arial" w:eastAsia="TimesNewRomanPSMT" w:hAnsi="Arial" w:cs="Arial"/>
          <w:sz w:val="24"/>
          <w:szCs w:val="24"/>
          <w:lang w:eastAsia="en-US"/>
        </w:rPr>
        <w:t>Rada požaduje v materiálu zohlednit i jiné možné zdroje financování než zdroje státního rozpočtu (tato připomínka platí pro všechna opatření, která předpokládají tento typ financování).</w:t>
      </w:r>
    </w:p>
    <w:p w14:paraId="6FDA6A27" w14:textId="77777777" w:rsidR="009E1C3E" w:rsidRPr="00CE480E" w:rsidRDefault="009E1C3E" w:rsidP="001368A1">
      <w:pPr>
        <w:pStyle w:val="Odstavecseseznamem"/>
        <w:spacing w:line="240" w:lineRule="auto"/>
        <w:ind w:left="360"/>
        <w:jc w:val="both"/>
        <w:rPr>
          <w:rFonts w:ascii="Arial" w:eastAsia="TimesNewRomanPSMT" w:hAnsi="Arial" w:cs="Arial"/>
          <w:sz w:val="24"/>
          <w:szCs w:val="24"/>
          <w:lang w:eastAsia="en-US"/>
        </w:rPr>
      </w:pPr>
    </w:p>
    <w:p w14:paraId="655EBB1B" w14:textId="77777777" w:rsidR="009E1C3E" w:rsidRPr="00CE480E" w:rsidRDefault="009E1C3E" w:rsidP="001368A1">
      <w:pPr>
        <w:pStyle w:val="Odstavecseseznamem"/>
        <w:spacing w:line="240" w:lineRule="auto"/>
        <w:ind w:left="360"/>
        <w:jc w:val="both"/>
        <w:rPr>
          <w:rFonts w:ascii="Arial" w:eastAsia="TimesNewRomanPSMT" w:hAnsi="Arial" w:cs="Arial"/>
          <w:sz w:val="24"/>
          <w:szCs w:val="24"/>
          <w:lang w:eastAsia="en-US"/>
        </w:rPr>
      </w:pPr>
      <w:r w:rsidRPr="00CE480E">
        <w:rPr>
          <w:rFonts w:ascii="Arial" w:eastAsia="TimesNewRomanPSMT" w:hAnsi="Arial" w:cs="Arial"/>
          <w:sz w:val="24"/>
          <w:szCs w:val="24"/>
          <w:lang w:eastAsia="en-US"/>
        </w:rPr>
        <w:lastRenderedPageBreak/>
        <w:t>Odůvodnění:</w:t>
      </w:r>
    </w:p>
    <w:p w14:paraId="43CAFBD8" w14:textId="7E3CF8CC" w:rsidR="009E1C3E" w:rsidRPr="00CE480E" w:rsidRDefault="009E1C3E" w:rsidP="001368A1">
      <w:pPr>
        <w:pStyle w:val="Odstavecseseznamem"/>
        <w:spacing w:line="240" w:lineRule="auto"/>
        <w:ind w:left="360"/>
        <w:jc w:val="both"/>
        <w:rPr>
          <w:rFonts w:ascii="Arial" w:eastAsia="TimesNewRomanPSMT" w:hAnsi="Arial" w:cs="Arial"/>
          <w:sz w:val="24"/>
          <w:szCs w:val="24"/>
          <w:lang w:eastAsia="en-US"/>
        </w:rPr>
      </w:pPr>
      <w:r w:rsidRPr="00CE480E">
        <w:rPr>
          <w:rFonts w:ascii="Arial" w:eastAsia="TimesNewRomanPSMT" w:hAnsi="Arial" w:cs="Arial"/>
          <w:sz w:val="24"/>
          <w:szCs w:val="24"/>
          <w:lang w:eastAsia="en-US"/>
        </w:rPr>
        <w:t>Opatření C.1.1 (Program Delta–Delta 2) je určeno primárně na spolupráci se zeměmi mimo Evropskou unii. Bilaterální přeshraniční spolupráci je již nyní možné financovat z existujících zdrojů Evropské unie či jiných mezinárodních zdrojů (např. OP Spolupráce svobodný stát Bavorsko–ČR, OP Spolupráce svobodný stát Sasko–ČR, OP ČR–Polsko, OP Slovensko–ČR, Visegrádský fond či program Erasmus).</w:t>
      </w:r>
    </w:p>
    <w:p w14:paraId="260A7A1F" w14:textId="77777777" w:rsidR="009F71AA" w:rsidRPr="00CE480E" w:rsidRDefault="009F71AA" w:rsidP="001368A1">
      <w:pPr>
        <w:pStyle w:val="Odstavecseseznamem"/>
        <w:spacing w:line="240" w:lineRule="auto"/>
        <w:ind w:left="360"/>
        <w:jc w:val="both"/>
        <w:rPr>
          <w:rFonts w:ascii="Arial" w:eastAsia="TimesNewRomanPSMT" w:hAnsi="Arial" w:cs="Arial"/>
          <w:sz w:val="24"/>
          <w:szCs w:val="24"/>
          <w:lang w:eastAsia="en-US"/>
        </w:rPr>
      </w:pPr>
    </w:p>
    <w:p w14:paraId="5E91A630" w14:textId="594FD455" w:rsidR="009F71AA" w:rsidRPr="00CE480E" w:rsidRDefault="009F71AA" w:rsidP="001368A1">
      <w:pPr>
        <w:pStyle w:val="Odstavecseseznamem"/>
        <w:numPr>
          <w:ilvl w:val="0"/>
          <w:numId w:val="31"/>
        </w:numPr>
        <w:spacing w:line="240" w:lineRule="auto"/>
        <w:ind w:left="360"/>
        <w:jc w:val="both"/>
        <w:rPr>
          <w:rFonts w:ascii="Arial" w:eastAsia="TimesNewRomanPSMT" w:hAnsi="Arial" w:cs="Arial"/>
          <w:sz w:val="24"/>
          <w:szCs w:val="24"/>
          <w:lang w:eastAsia="en-US"/>
        </w:rPr>
      </w:pPr>
      <w:r w:rsidRPr="00CE480E">
        <w:rPr>
          <w:rFonts w:ascii="Arial" w:eastAsia="TimesNewRomanPSMT" w:hAnsi="Arial" w:cs="Arial"/>
          <w:sz w:val="24"/>
          <w:szCs w:val="24"/>
          <w:lang w:eastAsia="en-US"/>
        </w:rPr>
        <w:t>Rada požaduje opatření C.1.9 upravit jako doporučení pro zástupce dotčených krajů zapojit se aktivně do debat vedoucích k aktualizaci Národní RIS3 strategie. Diskuze o obsahu aktualizace Národní RIS3 strategie a národních domén specializace budou probíhat v průběhu roku 2017 a 2018. K 30. 6. 2018 budou také aktualizovány krajské RIS3 strategie, ze kterých bude Národní RIS3 strategie vycházet.</w:t>
      </w:r>
    </w:p>
    <w:p w14:paraId="53B7B02F" w14:textId="77777777" w:rsidR="009F71AA" w:rsidRPr="00CE480E" w:rsidRDefault="009F71AA" w:rsidP="001368A1">
      <w:pPr>
        <w:pStyle w:val="Odstavecseseznamem"/>
        <w:spacing w:line="240" w:lineRule="auto"/>
        <w:ind w:left="360"/>
        <w:jc w:val="both"/>
        <w:rPr>
          <w:rFonts w:ascii="Arial" w:eastAsia="TimesNewRomanPSMT" w:hAnsi="Arial" w:cs="Arial"/>
          <w:sz w:val="24"/>
          <w:szCs w:val="24"/>
          <w:lang w:eastAsia="en-US"/>
        </w:rPr>
      </w:pPr>
    </w:p>
    <w:p w14:paraId="4BB59193" w14:textId="77777777" w:rsidR="009F71AA" w:rsidRPr="00CE480E" w:rsidRDefault="009F71AA" w:rsidP="001368A1">
      <w:pPr>
        <w:pStyle w:val="Odstavecseseznamem"/>
        <w:spacing w:line="240" w:lineRule="auto"/>
        <w:ind w:left="360"/>
        <w:jc w:val="both"/>
        <w:rPr>
          <w:rFonts w:ascii="Arial" w:eastAsia="TimesNewRomanPSMT" w:hAnsi="Arial" w:cs="Arial"/>
          <w:sz w:val="24"/>
          <w:szCs w:val="24"/>
          <w:lang w:eastAsia="en-US"/>
        </w:rPr>
      </w:pPr>
      <w:r w:rsidRPr="00CE480E">
        <w:rPr>
          <w:rFonts w:ascii="Arial" w:eastAsia="TimesNewRomanPSMT" w:hAnsi="Arial" w:cs="Arial"/>
          <w:sz w:val="24"/>
          <w:szCs w:val="24"/>
          <w:lang w:eastAsia="en-US"/>
        </w:rPr>
        <w:t>Odůvodnění:</w:t>
      </w:r>
    </w:p>
    <w:p w14:paraId="0157D3B0" w14:textId="638DA85F" w:rsidR="00CA6016" w:rsidRPr="00911E95" w:rsidRDefault="009F71AA" w:rsidP="00911E95">
      <w:pPr>
        <w:pStyle w:val="Odstavecseseznamem"/>
        <w:spacing w:line="240" w:lineRule="auto"/>
        <w:ind w:left="360"/>
        <w:jc w:val="both"/>
        <w:rPr>
          <w:rFonts w:ascii="Arial" w:eastAsia="TimesNewRomanPSMT" w:hAnsi="Arial" w:cs="Arial"/>
          <w:sz w:val="24"/>
          <w:szCs w:val="24"/>
          <w:lang w:eastAsia="en-US"/>
        </w:rPr>
      </w:pPr>
      <w:r w:rsidRPr="00CE480E">
        <w:rPr>
          <w:rFonts w:ascii="Arial" w:eastAsia="TimesNewRomanPSMT" w:hAnsi="Arial" w:cs="Arial"/>
          <w:sz w:val="24"/>
          <w:szCs w:val="24"/>
          <w:lang w:eastAsia="en-US"/>
        </w:rPr>
        <w:t>Vytvoření jednotlivých Národní</w:t>
      </w:r>
      <w:r w:rsidR="002C20BC" w:rsidRPr="00CE480E">
        <w:rPr>
          <w:rFonts w:ascii="Arial" w:eastAsia="TimesNewRomanPSMT" w:hAnsi="Arial" w:cs="Arial"/>
          <w:sz w:val="24"/>
          <w:szCs w:val="24"/>
          <w:lang w:eastAsia="en-US"/>
        </w:rPr>
        <w:t>ch</w:t>
      </w:r>
      <w:r w:rsidRPr="00CE480E">
        <w:rPr>
          <w:rFonts w:ascii="Arial" w:eastAsia="TimesNewRomanPSMT" w:hAnsi="Arial" w:cs="Arial"/>
          <w:sz w:val="24"/>
          <w:szCs w:val="24"/>
          <w:lang w:eastAsia="en-US"/>
        </w:rPr>
        <w:t xml:space="preserve"> inovační</w:t>
      </w:r>
      <w:r w:rsidR="002C20BC" w:rsidRPr="00CE480E">
        <w:rPr>
          <w:rFonts w:ascii="Arial" w:eastAsia="TimesNewRomanPSMT" w:hAnsi="Arial" w:cs="Arial"/>
          <w:sz w:val="24"/>
          <w:szCs w:val="24"/>
          <w:lang w:eastAsia="en-US"/>
        </w:rPr>
        <w:t>ch platforem</w:t>
      </w:r>
      <w:r w:rsidRPr="00CE480E">
        <w:rPr>
          <w:rFonts w:ascii="Arial" w:eastAsia="TimesNewRomanPSMT" w:hAnsi="Arial" w:cs="Arial"/>
          <w:sz w:val="24"/>
          <w:szCs w:val="24"/>
          <w:lang w:eastAsia="en-US"/>
        </w:rPr>
        <w:t xml:space="preserve"> (NIP) a následně národních domén specializace vycházelo a vychází z podnětů krajů, nicméně NIP a následně národní domény specializace vznikaly v oborech, které byly identifikovány jako relevantní pro všechny kraje ČR. Obory identifikované jako specifické pro určité kraje byly ustaveny krajskými doménami specializace. Chemie je již nyní identifikována jako krajská doména specializace v krajích Karlovarském i Ústeckém a je tedy jako krajská specializace podporována již nyní ve vyhlašovaných výzvách relevantních operačních programů. Zároveň jsou konkrétní témata z oblasti chemie zohledněna i v některých existujících národních doménách specializace. Národní RIS3 strategie bude aktualizována do konce roku 2018. Revize národních domén specializace a založení NIP musí vycházet z procesu objevování podnikatelských příležitostí. Její založení tak není možné iniciovat usnesením vlády.</w:t>
      </w:r>
    </w:p>
    <w:p w14:paraId="2BEB6A2D" w14:textId="77777777" w:rsidR="0020310B" w:rsidRPr="00CE480E" w:rsidRDefault="0020310B" w:rsidP="0020310B">
      <w:pPr>
        <w:pStyle w:val="Odstavecseseznamem"/>
        <w:ind w:left="1440"/>
        <w:jc w:val="both"/>
        <w:rPr>
          <w:rFonts w:ascii="Arial" w:hAnsi="Arial" w:cs="Arial"/>
          <w:i/>
          <w:sz w:val="24"/>
          <w:szCs w:val="24"/>
        </w:rPr>
      </w:pPr>
    </w:p>
    <w:p w14:paraId="3EF29AC1" w14:textId="5D885DFD" w:rsidR="005527E7" w:rsidRPr="00CE480E" w:rsidRDefault="005527E7" w:rsidP="001601E0">
      <w:pPr>
        <w:pStyle w:val="Nadpis2"/>
        <w:numPr>
          <w:ilvl w:val="0"/>
          <w:numId w:val="5"/>
        </w:numPr>
        <w:spacing w:before="0" w:after="120" w:line="240" w:lineRule="auto"/>
        <w:jc w:val="both"/>
        <w:rPr>
          <w:rFonts w:ascii="Arial" w:hAnsi="Arial" w:cs="Arial"/>
          <w:color w:val="548DD4" w:themeColor="text2" w:themeTint="99"/>
          <w:sz w:val="24"/>
          <w:szCs w:val="24"/>
        </w:rPr>
      </w:pPr>
      <w:r w:rsidRPr="00CE480E">
        <w:rPr>
          <w:rFonts w:ascii="Arial" w:hAnsi="Arial" w:cs="Arial"/>
          <w:color w:val="548DD4" w:themeColor="text2" w:themeTint="99"/>
          <w:sz w:val="24"/>
          <w:szCs w:val="24"/>
        </w:rPr>
        <w:t>Závěr</w:t>
      </w:r>
    </w:p>
    <w:p w14:paraId="63D8A4A9" w14:textId="599FF7E4" w:rsidR="00DF4B9A" w:rsidRPr="00DF4B9A" w:rsidRDefault="001601E0" w:rsidP="00DF4B9A">
      <w:pPr>
        <w:keepNext/>
        <w:rPr>
          <w:rFonts w:ascii="Arial" w:hAnsi="Arial" w:cs="Arial"/>
          <w:b/>
        </w:rPr>
      </w:pPr>
      <w:r w:rsidRPr="00CE480E">
        <w:rPr>
          <w:rFonts w:ascii="Arial" w:hAnsi="Arial" w:cs="Arial"/>
          <w:b/>
        </w:rPr>
        <w:t>Rada</w:t>
      </w:r>
    </w:p>
    <w:p w14:paraId="6DA883AA" w14:textId="01C2695E" w:rsidR="009803E4" w:rsidRPr="00142F8A" w:rsidRDefault="00DF4B9A" w:rsidP="00DF4B9A">
      <w:pPr>
        <w:pStyle w:val="Odstavecseseznamem"/>
        <w:numPr>
          <w:ilvl w:val="0"/>
          <w:numId w:val="35"/>
        </w:numPr>
        <w:autoSpaceDE w:val="0"/>
        <w:autoSpaceDN w:val="0"/>
        <w:adjustRightInd w:val="0"/>
        <w:spacing w:line="240" w:lineRule="auto"/>
        <w:jc w:val="both"/>
        <w:rPr>
          <w:rFonts w:ascii="Arial" w:hAnsi="Arial" w:cs="Arial"/>
          <w:iCs/>
          <w:sz w:val="24"/>
          <w:szCs w:val="24"/>
        </w:rPr>
      </w:pPr>
      <w:r w:rsidRPr="00142F8A">
        <w:rPr>
          <w:rFonts w:ascii="Arial" w:hAnsi="Arial" w:cs="Arial"/>
          <w:iCs/>
          <w:sz w:val="24"/>
          <w:szCs w:val="24"/>
        </w:rPr>
        <w:t xml:space="preserve">Žádá </w:t>
      </w:r>
      <w:r w:rsidR="00142F8A" w:rsidRPr="00142F8A">
        <w:rPr>
          <w:rFonts w:ascii="Arial" w:hAnsi="Arial" w:cs="Arial"/>
          <w:sz w:val="24"/>
          <w:szCs w:val="24"/>
        </w:rPr>
        <w:t>místopředsedu vlády pro vědu, výzkum a inovace a předsedu Rady pro výzkum, vývoj a inovace, aby</w:t>
      </w:r>
      <w:r w:rsidR="002A559D">
        <w:rPr>
          <w:rFonts w:ascii="Arial" w:hAnsi="Arial" w:cs="Arial"/>
          <w:sz w:val="24"/>
          <w:szCs w:val="24"/>
        </w:rPr>
        <w:t xml:space="preserve"> v oblasti </w:t>
      </w:r>
      <w:proofErr w:type="spellStart"/>
      <w:r w:rsidR="002A559D">
        <w:rPr>
          <w:rFonts w:ascii="Arial" w:hAnsi="Arial" w:cs="Arial"/>
          <w:sz w:val="24"/>
          <w:szCs w:val="24"/>
        </w:rPr>
        <w:t>VaVaI</w:t>
      </w:r>
      <w:proofErr w:type="spellEnd"/>
      <w:r w:rsidR="00142F8A" w:rsidRPr="00142F8A">
        <w:rPr>
          <w:rFonts w:ascii="Arial" w:hAnsi="Arial" w:cs="Arial"/>
          <w:sz w:val="24"/>
          <w:szCs w:val="24"/>
        </w:rPr>
        <w:t xml:space="preserve"> </w:t>
      </w:r>
      <w:r w:rsidR="002A559D" w:rsidRPr="00142F8A">
        <w:rPr>
          <w:rFonts w:ascii="Arial" w:hAnsi="Arial" w:cs="Arial"/>
          <w:sz w:val="24"/>
          <w:szCs w:val="24"/>
        </w:rPr>
        <w:t xml:space="preserve">nejprve projednal </w:t>
      </w:r>
      <w:r w:rsidR="00142F8A" w:rsidRPr="00142F8A">
        <w:rPr>
          <w:rFonts w:ascii="Arial" w:hAnsi="Arial" w:cs="Arial"/>
          <w:sz w:val="24"/>
          <w:szCs w:val="24"/>
        </w:rPr>
        <w:t>s jednotlivými poskytovateli možnosti regionální dimen</w:t>
      </w:r>
      <w:r w:rsidR="002A559D">
        <w:rPr>
          <w:rFonts w:ascii="Arial" w:hAnsi="Arial" w:cs="Arial"/>
          <w:sz w:val="24"/>
          <w:szCs w:val="24"/>
        </w:rPr>
        <w:t>ze v programech účelové podpory</w:t>
      </w:r>
      <w:r w:rsidR="00142F8A" w:rsidRPr="00142F8A">
        <w:rPr>
          <w:rFonts w:ascii="Arial" w:hAnsi="Arial" w:cs="Arial"/>
          <w:sz w:val="24"/>
          <w:szCs w:val="24"/>
        </w:rPr>
        <w:t>, a to zejména s ohledem na možnosti státního rozpočtu a platné legislativní a nelegislat</w:t>
      </w:r>
      <w:r w:rsidR="002A559D">
        <w:rPr>
          <w:rFonts w:ascii="Arial" w:hAnsi="Arial" w:cs="Arial"/>
          <w:sz w:val="24"/>
          <w:szCs w:val="24"/>
        </w:rPr>
        <w:t>i</w:t>
      </w:r>
      <w:r w:rsidR="00142F8A" w:rsidRPr="00142F8A">
        <w:rPr>
          <w:rFonts w:ascii="Arial" w:hAnsi="Arial" w:cs="Arial"/>
          <w:sz w:val="24"/>
          <w:szCs w:val="24"/>
        </w:rPr>
        <w:t>vní dokumenty.</w:t>
      </w:r>
    </w:p>
    <w:p w14:paraId="05C946BC" w14:textId="77777777" w:rsidR="00DF4B9A" w:rsidRPr="00DF4B9A" w:rsidRDefault="00DF4B9A" w:rsidP="00DF4B9A">
      <w:pPr>
        <w:autoSpaceDE w:val="0"/>
        <w:autoSpaceDN w:val="0"/>
        <w:adjustRightInd w:val="0"/>
        <w:spacing w:line="240" w:lineRule="auto"/>
        <w:jc w:val="both"/>
        <w:rPr>
          <w:rFonts w:ascii="Arial" w:hAnsi="Arial" w:cs="Arial"/>
          <w:iCs/>
        </w:rPr>
      </w:pPr>
    </w:p>
    <w:sectPr w:rsidR="00DF4B9A" w:rsidRPr="00DF4B9A" w:rsidSect="009758E5">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3329C2E" w15:done="0"/>
  <w15:commentEx w15:paraId="1A4CD838" w15:done="0"/>
  <w15:commentEx w15:paraId="129A6614" w15:done="0"/>
  <w15:commentEx w15:paraId="020AF3A6" w15:done="0"/>
  <w15:commentEx w15:paraId="58A18A18" w15:done="0"/>
  <w15:commentEx w15:paraId="36C67D9A" w15:done="0"/>
  <w15:commentEx w15:paraId="28FA692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185178" w14:textId="77777777" w:rsidR="009F0810" w:rsidRDefault="009F0810" w:rsidP="000C5E8D">
      <w:pPr>
        <w:spacing w:after="0" w:line="240" w:lineRule="auto"/>
      </w:pPr>
      <w:r>
        <w:separator/>
      </w:r>
    </w:p>
  </w:endnote>
  <w:endnote w:type="continuationSeparator" w:id="0">
    <w:p w14:paraId="7657D38E" w14:textId="77777777" w:rsidR="009F0810" w:rsidRDefault="009F0810" w:rsidP="000C5E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PSMT">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4D9075" w14:textId="77777777" w:rsidR="00A11730" w:rsidRDefault="00A11730">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5EE235" w14:textId="77777777" w:rsidR="00CC370F" w:rsidRPr="00CC370F" w:rsidRDefault="00BD392A" w:rsidP="002074B9">
    <w:pPr>
      <w:pStyle w:val="Zpat"/>
      <w:jc w:val="right"/>
      <w:rPr>
        <w:rFonts w:ascii="Arial" w:hAnsi="Arial" w:cs="Arial"/>
        <w:sz w:val="18"/>
        <w:szCs w:val="18"/>
      </w:rPr>
    </w:pPr>
    <w:sdt>
      <w:sdtPr>
        <w:rPr>
          <w:rFonts w:ascii="Arial" w:hAnsi="Arial" w:cs="Arial"/>
          <w:sz w:val="18"/>
          <w:szCs w:val="18"/>
        </w:rPr>
        <w:id w:val="1547331835"/>
        <w:docPartObj>
          <w:docPartGallery w:val="Page Numbers (Bottom of Page)"/>
          <w:docPartUnique/>
        </w:docPartObj>
      </w:sdtPr>
      <w:sdtEndPr/>
      <w:sdtContent>
        <w:r w:rsidR="005D0304" w:rsidRPr="00CC370F">
          <w:rPr>
            <w:rFonts w:ascii="Arial" w:hAnsi="Arial" w:cs="Arial"/>
            <w:sz w:val="18"/>
            <w:szCs w:val="18"/>
          </w:rPr>
          <w:fldChar w:fldCharType="begin"/>
        </w:r>
        <w:r w:rsidR="005D0304" w:rsidRPr="00CC370F">
          <w:rPr>
            <w:rFonts w:ascii="Arial" w:hAnsi="Arial" w:cs="Arial"/>
            <w:sz w:val="18"/>
            <w:szCs w:val="18"/>
          </w:rPr>
          <w:instrText>PAGE   \* MERGEFORMAT</w:instrText>
        </w:r>
        <w:r w:rsidR="005D0304" w:rsidRPr="00CC370F">
          <w:rPr>
            <w:rFonts w:ascii="Arial" w:hAnsi="Arial" w:cs="Arial"/>
            <w:sz w:val="18"/>
            <w:szCs w:val="18"/>
          </w:rPr>
          <w:fldChar w:fldCharType="separate"/>
        </w:r>
        <w:r>
          <w:rPr>
            <w:rFonts w:ascii="Arial" w:hAnsi="Arial" w:cs="Arial"/>
            <w:noProof/>
            <w:sz w:val="18"/>
            <w:szCs w:val="18"/>
          </w:rPr>
          <w:t>4</w:t>
        </w:r>
        <w:r w:rsidR="005D0304" w:rsidRPr="00CC370F">
          <w:rPr>
            <w:rFonts w:ascii="Arial" w:hAnsi="Arial" w:cs="Arial"/>
            <w:sz w:val="18"/>
            <w:szCs w:val="18"/>
          </w:rPr>
          <w:fldChar w:fldCharType="end"/>
        </w:r>
        <w:r w:rsidR="005D0304" w:rsidRPr="00CC370F">
          <w:rPr>
            <w:rFonts w:ascii="Arial" w:hAnsi="Arial" w:cs="Arial"/>
            <w:sz w:val="18"/>
            <w:szCs w:val="18"/>
          </w:rPr>
          <w:t xml:space="preserve"> / </w:t>
        </w:r>
        <w:r w:rsidR="005D0304" w:rsidRPr="00CC370F">
          <w:rPr>
            <w:rFonts w:ascii="Arial" w:hAnsi="Arial" w:cs="Arial"/>
            <w:sz w:val="18"/>
            <w:szCs w:val="18"/>
          </w:rPr>
          <w:fldChar w:fldCharType="begin"/>
        </w:r>
        <w:r w:rsidR="005D0304" w:rsidRPr="00CC370F">
          <w:rPr>
            <w:rFonts w:ascii="Arial" w:hAnsi="Arial" w:cs="Arial"/>
            <w:sz w:val="18"/>
            <w:szCs w:val="18"/>
          </w:rPr>
          <w:instrText xml:space="preserve"> NUMPAGES   \* MERGEFORMAT </w:instrText>
        </w:r>
        <w:r w:rsidR="005D0304" w:rsidRPr="00CC370F">
          <w:rPr>
            <w:rFonts w:ascii="Arial" w:hAnsi="Arial" w:cs="Arial"/>
            <w:sz w:val="18"/>
            <w:szCs w:val="18"/>
          </w:rPr>
          <w:fldChar w:fldCharType="separate"/>
        </w:r>
        <w:r>
          <w:rPr>
            <w:rFonts w:ascii="Arial" w:hAnsi="Arial" w:cs="Arial"/>
            <w:noProof/>
            <w:sz w:val="18"/>
            <w:szCs w:val="18"/>
          </w:rPr>
          <w:t>4</w:t>
        </w:r>
        <w:r w:rsidR="005D0304" w:rsidRPr="00CC370F">
          <w:rPr>
            <w:rFonts w:ascii="Arial" w:hAnsi="Arial" w:cs="Arial"/>
            <w:sz w:val="18"/>
            <w:szCs w:val="18"/>
          </w:rPr>
          <w:fldChar w:fldCharType="end"/>
        </w:r>
      </w:sdtContent>
    </w:sdt>
  </w:p>
  <w:p w14:paraId="7218C6F8" w14:textId="72284703" w:rsidR="009055C1" w:rsidRPr="00454D6E" w:rsidRDefault="00AF228A">
    <w:pPr>
      <w:rPr>
        <w:rFonts w:ascii="Arial" w:hAnsi="Arial" w:cs="Arial"/>
        <w:sz w:val="18"/>
        <w:szCs w:val="18"/>
      </w:rPr>
    </w:pPr>
    <w:r w:rsidRPr="00454D6E">
      <w:rPr>
        <w:rFonts w:ascii="Arial" w:hAnsi="Arial" w:cs="Arial"/>
        <w:sz w:val="18"/>
        <w:szCs w:val="18"/>
      </w:rPr>
      <w:t xml:space="preserve">Stanovisko </w:t>
    </w:r>
    <w:r w:rsidR="00C74073">
      <w:rPr>
        <w:rFonts w:ascii="Arial" w:hAnsi="Arial" w:cs="Arial"/>
        <w:sz w:val="18"/>
        <w:szCs w:val="18"/>
      </w:rPr>
      <w:t>R</w:t>
    </w:r>
    <w:r w:rsidRPr="00454D6E">
      <w:rPr>
        <w:rFonts w:ascii="Arial" w:hAnsi="Arial" w:cs="Arial"/>
        <w:sz w:val="18"/>
        <w:szCs w:val="18"/>
      </w:rPr>
      <w:t xml:space="preserve">ady pro výzkum, vývoj a inovace k dokumentu </w:t>
    </w:r>
    <w:r w:rsidR="000C24A2">
      <w:rPr>
        <w:rFonts w:ascii="Arial" w:hAnsi="Arial" w:cs="Arial"/>
        <w:sz w:val="18"/>
        <w:szCs w:val="18"/>
      </w:rPr>
      <w:t>Souhrnný akční plán</w:t>
    </w:r>
    <w:r w:rsidR="000C24A2" w:rsidRPr="000C24A2">
      <w:rPr>
        <w:rFonts w:ascii="Arial" w:hAnsi="Arial" w:cs="Arial"/>
        <w:sz w:val="18"/>
        <w:szCs w:val="18"/>
      </w:rPr>
      <w:t xml:space="preserve"> Strategie restrukturalizace Ústeckého, Moravskoslezského a Karlovarského kraje</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2027467776"/>
      <w:docPartObj>
        <w:docPartGallery w:val="Page Numbers (Bottom of Page)"/>
        <w:docPartUnique/>
      </w:docPartObj>
    </w:sdtPr>
    <w:sdtEndPr/>
    <w:sdtContent>
      <w:p w14:paraId="6A0FD549" w14:textId="77777777" w:rsidR="00CC370F" w:rsidRPr="00CC370F" w:rsidRDefault="005D0304">
        <w:pPr>
          <w:pStyle w:val="Zpat"/>
          <w:jc w:val="right"/>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BD392A">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BD392A">
          <w:rPr>
            <w:rFonts w:ascii="Arial" w:hAnsi="Arial" w:cs="Arial"/>
            <w:noProof/>
            <w:sz w:val="18"/>
            <w:szCs w:val="18"/>
          </w:rPr>
          <w:t>4</w:t>
        </w:r>
        <w:r w:rsidRPr="00CC370F">
          <w:rPr>
            <w:rFonts w:ascii="Arial" w:hAnsi="Arial" w:cs="Arial"/>
            <w:sz w:val="18"/>
            <w:szCs w:val="18"/>
          </w:rPr>
          <w:fldChar w:fldCharType="end"/>
        </w:r>
      </w:p>
    </w:sdtContent>
  </w:sdt>
  <w:p w14:paraId="7C763DCA" w14:textId="77777777" w:rsidR="009055C1" w:rsidRDefault="00BD392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FBC83A" w14:textId="77777777" w:rsidR="009F0810" w:rsidRDefault="009F0810" w:rsidP="000C5E8D">
      <w:pPr>
        <w:spacing w:after="0" w:line="240" w:lineRule="auto"/>
      </w:pPr>
      <w:r>
        <w:separator/>
      </w:r>
    </w:p>
  </w:footnote>
  <w:footnote w:type="continuationSeparator" w:id="0">
    <w:p w14:paraId="3641EF92" w14:textId="77777777" w:rsidR="009F0810" w:rsidRDefault="009F0810" w:rsidP="000C5E8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E7E6B7" w14:textId="77777777" w:rsidR="00A11730" w:rsidRDefault="00A11730">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188" w:type="dxa"/>
      <w:tblLook w:val="04A0" w:firstRow="1" w:lastRow="0" w:firstColumn="1" w:lastColumn="0" w:noHBand="0" w:noVBand="1"/>
    </w:tblPr>
    <w:tblGrid>
      <w:gridCol w:w="8188"/>
    </w:tblGrid>
    <w:tr w:rsidR="009758E5" w14:paraId="789C98DC" w14:textId="77777777" w:rsidTr="009758E5">
      <w:trPr>
        <w:trHeight w:val="686"/>
      </w:trPr>
      <w:tc>
        <w:tcPr>
          <w:tcW w:w="8188" w:type="dxa"/>
          <w:tcBorders>
            <w:top w:val="nil"/>
            <w:left w:val="nil"/>
            <w:bottom w:val="nil"/>
            <w:right w:val="nil"/>
          </w:tcBorders>
          <w:vAlign w:val="center"/>
        </w:tcPr>
        <w:p w14:paraId="394A75F9" w14:textId="77777777" w:rsidR="009758E5" w:rsidRPr="009758E5" w:rsidRDefault="005D0304" w:rsidP="00B64583">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0288" behindDoc="0" locked="0" layoutInCell="1" allowOverlap="1" wp14:anchorId="4E850647" wp14:editId="604EAD94">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14:paraId="2AA13419" w14:textId="77777777" w:rsidR="009055C1" w:rsidRDefault="00BD392A"/>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747" w:type="dxa"/>
      <w:tblLook w:val="04A0" w:firstRow="1" w:lastRow="0" w:firstColumn="1" w:lastColumn="0" w:noHBand="0" w:noVBand="1"/>
    </w:tblPr>
    <w:tblGrid>
      <w:gridCol w:w="8188"/>
      <w:gridCol w:w="1559"/>
    </w:tblGrid>
    <w:tr w:rsidR="00265A36" w14:paraId="5141CCF4" w14:textId="77777777" w:rsidTr="009758E5">
      <w:trPr>
        <w:trHeight w:val="686"/>
      </w:trPr>
      <w:tc>
        <w:tcPr>
          <w:tcW w:w="8188" w:type="dxa"/>
          <w:tcBorders>
            <w:top w:val="nil"/>
            <w:left w:val="nil"/>
            <w:bottom w:val="nil"/>
            <w:right w:val="single" w:sz="6" w:space="0" w:color="auto"/>
          </w:tcBorders>
          <w:vAlign w:val="center"/>
        </w:tcPr>
        <w:p w14:paraId="06D8DCAD" w14:textId="77777777" w:rsidR="00265A36" w:rsidRPr="009758E5" w:rsidRDefault="005D0304"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4565F429" wp14:editId="7354AA39">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FFFF99"/>
          <w:vAlign w:val="center"/>
        </w:tcPr>
        <w:p w14:paraId="4896838E" w14:textId="563F506B" w:rsidR="00265A36" w:rsidRPr="003C2A8E" w:rsidRDefault="00A82BE6" w:rsidP="004A7CEE">
          <w:pPr>
            <w:pStyle w:val="Zhlav"/>
            <w:jc w:val="center"/>
            <w:rPr>
              <w:rFonts w:ascii="Arial" w:hAnsi="Arial" w:cs="Arial"/>
              <w:b/>
              <w:color w:val="0070C0"/>
              <w:sz w:val="28"/>
              <w:szCs w:val="28"/>
            </w:rPr>
          </w:pPr>
          <w:r>
            <w:rPr>
              <w:rFonts w:ascii="Arial" w:hAnsi="Arial" w:cs="Arial"/>
              <w:b/>
              <w:color w:val="0070C0"/>
              <w:sz w:val="28"/>
              <w:szCs w:val="28"/>
            </w:rPr>
            <w:t>3</w:t>
          </w:r>
          <w:r w:rsidR="00D234CF">
            <w:rPr>
              <w:rFonts w:ascii="Arial" w:hAnsi="Arial" w:cs="Arial"/>
              <w:b/>
              <w:color w:val="0070C0"/>
              <w:sz w:val="28"/>
              <w:szCs w:val="28"/>
            </w:rPr>
            <w:t>27</w:t>
          </w:r>
          <w:r>
            <w:rPr>
              <w:rFonts w:ascii="Arial" w:hAnsi="Arial" w:cs="Arial"/>
              <w:b/>
              <w:color w:val="0070C0"/>
              <w:sz w:val="28"/>
              <w:szCs w:val="28"/>
            </w:rPr>
            <w:t>/</w:t>
          </w:r>
          <w:r w:rsidR="00BD392A">
            <w:rPr>
              <w:rFonts w:ascii="Arial" w:hAnsi="Arial" w:cs="Arial"/>
              <w:b/>
              <w:color w:val="0070C0"/>
              <w:sz w:val="28"/>
              <w:szCs w:val="28"/>
            </w:rPr>
            <w:t>A4</w:t>
          </w:r>
          <w:bookmarkStart w:id="0" w:name="_GoBack"/>
          <w:bookmarkEnd w:id="0"/>
        </w:p>
      </w:tc>
    </w:tr>
  </w:tbl>
  <w:p w14:paraId="64609BD5" w14:textId="77777777" w:rsidR="00CC370F" w:rsidRDefault="00BD392A" w:rsidP="009B0AD9">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84D8D"/>
    <w:multiLevelType w:val="hybridMultilevel"/>
    <w:tmpl w:val="256ABEF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56A6CBF"/>
    <w:multiLevelType w:val="hybridMultilevel"/>
    <w:tmpl w:val="B8FE6E1A"/>
    <w:lvl w:ilvl="0" w:tplc="4E38372A">
      <w:start w:val="1"/>
      <w:numFmt w:val="upperRoman"/>
      <w:lvlText w:val="%1."/>
      <w:lvlJc w:val="left"/>
      <w:pPr>
        <w:ind w:left="1440" w:hanging="72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nsid w:val="0B7B2572"/>
    <w:multiLevelType w:val="hybridMultilevel"/>
    <w:tmpl w:val="DC40128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FCD5D86"/>
    <w:multiLevelType w:val="hybridMultilevel"/>
    <w:tmpl w:val="4A9CB9C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06A6B9E"/>
    <w:multiLevelType w:val="hybridMultilevel"/>
    <w:tmpl w:val="AE547A12"/>
    <w:lvl w:ilvl="0" w:tplc="2B48B26A">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57F669A"/>
    <w:multiLevelType w:val="hybridMultilevel"/>
    <w:tmpl w:val="00B6B1F0"/>
    <w:lvl w:ilvl="0" w:tplc="2B48B26A">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60875F0"/>
    <w:multiLevelType w:val="hybridMultilevel"/>
    <w:tmpl w:val="26E8D72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65A2ADE"/>
    <w:multiLevelType w:val="hybridMultilevel"/>
    <w:tmpl w:val="67C8006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1A56BC6"/>
    <w:multiLevelType w:val="hybridMultilevel"/>
    <w:tmpl w:val="E20EAD96"/>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6636593"/>
    <w:multiLevelType w:val="hybridMultilevel"/>
    <w:tmpl w:val="D46E1D8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68459D0"/>
    <w:multiLevelType w:val="hybridMultilevel"/>
    <w:tmpl w:val="68588998"/>
    <w:lvl w:ilvl="0" w:tplc="0C2650B6">
      <w:start w:val="1"/>
      <w:numFmt w:val="upperRoman"/>
      <w:lvlText w:val="%1."/>
      <w:lvlJc w:val="left"/>
      <w:pPr>
        <w:ind w:left="720" w:hanging="360"/>
      </w:pPr>
      <w:rPr>
        <w:rFonts w:ascii="Arial" w:hAnsi="Arial" w:cs="Arial" w:hint="default"/>
        <w:b/>
        <w:i w:val="0"/>
        <w:color w:val="auto"/>
        <w:sz w:val="24"/>
        <w:szCs w:val="24"/>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85D2762"/>
    <w:multiLevelType w:val="hybridMultilevel"/>
    <w:tmpl w:val="68A270F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DBE7BE3"/>
    <w:multiLevelType w:val="hybridMultilevel"/>
    <w:tmpl w:val="84AC5CF8"/>
    <w:lvl w:ilvl="0" w:tplc="0405000F">
      <w:start w:val="1"/>
      <w:numFmt w:val="decimal"/>
      <w:lvlText w:val="%1."/>
      <w:lvlJc w:val="left"/>
      <w:pPr>
        <w:ind w:left="1440" w:hanging="720"/>
      </w:pPr>
      <w:rPr>
        <w:rFonts w:hint="default"/>
      </w:rPr>
    </w:lvl>
    <w:lvl w:ilvl="1" w:tplc="04050019">
      <w:start w:val="1"/>
      <w:numFmt w:val="lowerLetter"/>
      <w:lvlText w:val="%2."/>
      <w:lvlJc w:val="left"/>
      <w:pPr>
        <w:ind w:left="1800" w:hanging="360"/>
      </w:pPr>
    </w:lvl>
    <w:lvl w:ilvl="2" w:tplc="82B6234E">
      <w:start w:val="1"/>
      <w:numFmt w:val="decimal"/>
      <w:lvlText w:val="%3)"/>
      <w:lvlJc w:val="left"/>
      <w:pPr>
        <w:ind w:left="2700" w:hanging="360"/>
      </w:pPr>
      <w:rPr>
        <w:rFonts w:hint="default"/>
      </w:r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nsid w:val="2E176223"/>
    <w:multiLevelType w:val="hybridMultilevel"/>
    <w:tmpl w:val="8920FC9A"/>
    <w:lvl w:ilvl="0" w:tplc="5E6A7E64">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330461C4"/>
    <w:multiLevelType w:val="hybridMultilevel"/>
    <w:tmpl w:val="1E7A8084"/>
    <w:lvl w:ilvl="0" w:tplc="F4FADBF2">
      <w:start w:val="1"/>
      <w:numFmt w:val="bullet"/>
      <w:lvlText w:val="o"/>
      <w:lvlJc w:val="left"/>
      <w:pPr>
        <w:ind w:left="720" w:hanging="360"/>
      </w:pPr>
      <w:rPr>
        <w:rFonts w:ascii="Courier New" w:hAnsi="Courier New" w:hint="default"/>
      </w:rPr>
    </w:lvl>
    <w:lvl w:ilvl="1" w:tplc="67BE6870" w:tentative="1">
      <w:start w:val="1"/>
      <w:numFmt w:val="bullet"/>
      <w:lvlText w:val="o"/>
      <w:lvlJc w:val="left"/>
      <w:pPr>
        <w:ind w:left="1440" w:hanging="360"/>
      </w:pPr>
      <w:rPr>
        <w:rFonts w:ascii="Courier New" w:hAnsi="Courier New" w:cs="Courier New" w:hint="default"/>
      </w:rPr>
    </w:lvl>
    <w:lvl w:ilvl="2" w:tplc="F948C9A2" w:tentative="1">
      <w:start w:val="1"/>
      <w:numFmt w:val="bullet"/>
      <w:lvlText w:val=""/>
      <w:lvlJc w:val="left"/>
      <w:pPr>
        <w:ind w:left="2160" w:hanging="360"/>
      </w:pPr>
      <w:rPr>
        <w:rFonts w:ascii="Wingdings" w:hAnsi="Wingdings" w:hint="default"/>
      </w:rPr>
    </w:lvl>
    <w:lvl w:ilvl="3" w:tplc="E076B718" w:tentative="1">
      <w:start w:val="1"/>
      <w:numFmt w:val="bullet"/>
      <w:lvlText w:val=""/>
      <w:lvlJc w:val="left"/>
      <w:pPr>
        <w:ind w:left="2880" w:hanging="360"/>
      </w:pPr>
      <w:rPr>
        <w:rFonts w:ascii="Symbol" w:hAnsi="Symbol" w:hint="default"/>
      </w:rPr>
    </w:lvl>
    <w:lvl w:ilvl="4" w:tplc="912CF176" w:tentative="1">
      <w:start w:val="1"/>
      <w:numFmt w:val="bullet"/>
      <w:lvlText w:val="o"/>
      <w:lvlJc w:val="left"/>
      <w:pPr>
        <w:ind w:left="3600" w:hanging="360"/>
      </w:pPr>
      <w:rPr>
        <w:rFonts w:ascii="Courier New" w:hAnsi="Courier New" w:cs="Courier New" w:hint="default"/>
      </w:rPr>
    </w:lvl>
    <w:lvl w:ilvl="5" w:tplc="E006EDE4" w:tentative="1">
      <w:start w:val="1"/>
      <w:numFmt w:val="bullet"/>
      <w:lvlText w:val=""/>
      <w:lvlJc w:val="left"/>
      <w:pPr>
        <w:ind w:left="4320" w:hanging="360"/>
      </w:pPr>
      <w:rPr>
        <w:rFonts w:ascii="Wingdings" w:hAnsi="Wingdings" w:hint="default"/>
      </w:rPr>
    </w:lvl>
    <w:lvl w:ilvl="6" w:tplc="FD36A8B6" w:tentative="1">
      <w:start w:val="1"/>
      <w:numFmt w:val="bullet"/>
      <w:lvlText w:val=""/>
      <w:lvlJc w:val="left"/>
      <w:pPr>
        <w:ind w:left="5040" w:hanging="360"/>
      </w:pPr>
      <w:rPr>
        <w:rFonts w:ascii="Symbol" w:hAnsi="Symbol" w:hint="default"/>
      </w:rPr>
    </w:lvl>
    <w:lvl w:ilvl="7" w:tplc="DE3C6716" w:tentative="1">
      <w:start w:val="1"/>
      <w:numFmt w:val="bullet"/>
      <w:lvlText w:val="o"/>
      <w:lvlJc w:val="left"/>
      <w:pPr>
        <w:ind w:left="5760" w:hanging="360"/>
      </w:pPr>
      <w:rPr>
        <w:rFonts w:ascii="Courier New" w:hAnsi="Courier New" w:cs="Courier New" w:hint="default"/>
      </w:rPr>
    </w:lvl>
    <w:lvl w:ilvl="8" w:tplc="4E6CEA34" w:tentative="1">
      <w:start w:val="1"/>
      <w:numFmt w:val="bullet"/>
      <w:lvlText w:val=""/>
      <w:lvlJc w:val="left"/>
      <w:pPr>
        <w:ind w:left="6480" w:hanging="360"/>
      </w:pPr>
      <w:rPr>
        <w:rFonts w:ascii="Wingdings" w:hAnsi="Wingdings" w:hint="default"/>
      </w:rPr>
    </w:lvl>
  </w:abstractNum>
  <w:abstractNum w:abstractNumId="15">
    <w:nsid w:val="336A24BB"/>
    <w:multiLevelType w:val="hybridMultilevel"/>
    <w:tmpl w:val="1062C4B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347E7FB2"/>
    <w:multiLevelType w:val="hybridMultilevel"/>
    <w:tmpl w:val="25C2D77A"/>
    <w:lvl w:ilvl="0" w:tplc="82B6234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39A06047"/>
    <w:multiLevelType w:val="hybridMultilevel"/>
    <w:tmpl w:val="302447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9D26308"/>
    <w:multiLevelType w:val="hybridMultilevel"/>
    <w:tmpl w:val="44D03C10"/>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9">
    <w:nsid w:val="3CD44E1D"/>
    <w:multiLevelType w:val="hybridMultilevel"/>
    <w:tmpl w:val="CE72A8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3F694F62"/>
    <w:multiLevelType w:val="hybridMultilevel"/>
    <w:tmpl w:val="48BCC46C"/>
    <w:lvl w:ilvl="0" w:tplc="F818349C">
      <w:start w:val="1"/>
      <w:numFmt w:val="decimal"/>
      <w:lvlText w:val="%1)"/>
      <w:lvlJc w:val="left"/>
      <w:pPr>
        <w:ind w:left="1440" w:hanging="360"/>
      </w:pPr>
      <w:rPr>
        <w:rFonts w:hint="default"/>
        <w:b w:val="0"/>
        <w:i w:val="0"/>
        <w:sz w:val="24"/>
        <w:szCs w:val="24"/>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1">
    <w:nsid w:val="491444F8"/>
    <w:multiLevelType w:val="hybridMultilevel"/>
    <w:tmpl w:val="7CE61944"/>
    <w:lvl w:ilvl="0" w:tplc="68D0737E">
      <w:start w:val="1"/>
      <w:numFmt w:val="decimal"/>
      <w:lvlText w:val="%1)"/>
      <w:lvlJc w:val="left"/>
      <w:pPr>
        <w:ind w:left="720" w:hanging="360"/>
      </w:pPr>
      <w:rPr>
        <w:rFonts w:hint="default"/>
        <w:b/>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4950502A"/>
    <w:multiLevelType w:val="hybridMultilevel"/>
    <w:tmpl w:val="48BCC46C"/>
    <w:lvl w:ilvl="0" w:tplc="F818349C">
      <w:start w:val="1"/>
      <w:numFmt w:val="decimal"/>
      <w:lvlText w:val="%1)"/>
      <w:lvlJc w:val="left"/>
      <w:pPr>
        <w:ind w:left="1440" w:hanging="360"/>
      </w:pPr>
      <w:rPr>
        <w:rFonts w:hint="default"/>
        <w:b w:val="0"/>
        <w:i w:val="0"/>
        <w:sz w:val="24"/>
        <w:szCs w:val="24"/>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3">
    <w:nsid w:val="4E6A7F2D"/>
    <w:multiLevelType w:val="hybridMultilevel"/>
    <w:tmpl w:val="471A2E14"/>
    <w:lvl w:ilvl="0" w:tplc="04050001">
      <w:start w:val="1"/>
      <w:numFmt w:val="bullet"/>
      <w:lvlText w:val=""/>
      <w:lvlJc w:val="left"/>
      <w:pPr>
        <w:ind w:left="2568" w:hanging="360"/>
      </w:pPr>
      <w:rPr>
        <w:rFonts w:ascii="Symbol" w:hAnsi="Symbol" w:hint="default"/>
      </w:rPr>
    </w:lvl>
    <w:lvl w:ilvl="1" w:tplc="04050003" w:tentative="1">
      <w:start w:val="1"/>
      <w:numFmt w:val="bullet"/>
      <w:lvlText w:val="o"/>
      <w:lvlJc w:val="left"/>
      <w:pPr>
        <w:ind w:left="3288" w:hanging="360"/>
      </w:pPr>
      <w:rPr>
        <w:rFonts w:ascii="Courier New" w:hAnsi="Courier New" w:cs="Courier New" w:hint="default"/>
      </w:rPr>
    </w:lvl>
    <w:lvl w:ilvl="2" w:tplc="04050005" w:tentative="1">
      <w:start w:val="1"/>
      <w:numFmt w:val="bullet"/>
      <w:lvlText w:val=""/>
      <w:lvlJc w:val="left"/>
      <w:pPr>
        <w:ind w:left="4008" w:hanging="360"/>
      </w:pPr>
      <w:rPr>
        <w:rFonts w:ascii="Wingdings" w:hAnsi="Wingdings" w:hint="default"/>
      </w:rPr>
    </w:lvl>
    <w:lvl w:ilvl="3" w:tplc="04050001" w:tentative="1">
      <w:start w:val="1"/>
      <w:numFmt w:val="bullet"/>
      <w:lvlText w:val=""/>
      <w:lvlJc w:val="left"/>
      <w:pPr>
        <w:ind w:left="4728" w:hanging="360"/>
      </w:pPr>
      <w:rPr>
        <w:rFonts w:ascii="Symbol" w:hAnsi="Symbol" w:hint="default"/>
      </w:rPr>
    </w:lvl>
    <w:lvl w:ilvl="4" w:tplc="04050003" w:tentative="1">
      <w:start w:val="1"/>
      <w:numFmt w:val="bullet"/>
      <w:lvlText w:val="o"/>
      <w:lvlJc w:val="left"/>
      <w:pPr>
        <w:ind w:left="5448" w:hanging="360"/>
      </w:pPr>
      <w:rPr>
        <w:rFonts w:ascii="Courier New" w:hAnsi="Courier New" w:cs="Courier New" w:hint="default"/>
      </w:rPr>
    </w:lvl>
    <w:lvl w:ilvl="5" w:tplc="04050005" w:tentative="1">
      <w:start w:val="1"/>
      <w:numFmt w:val="bullet"/>
      <w:lvlText w:val=""/>
      <w:lvlJc w:val="left"/>
      <w:pPr>
        <w:ind w:left="6168" w:hanging="360"/>
      </w:pPr>
      <w:rPr>
        <w:rFonts w:ascii="Wingdings" w:hAnsi="Wingdings" w:hint="default"/>
      </w:rPr>
    </w:lvl>
    <w:lvl w:ilvl="6" w:tplc="04050001" w:tentative="1">
      <w:start w:val="1"/>
      <w:numFmt w:val="bullet"/>
      <w:lvlText w:val=""/>
      <w:lvlJc w:val="left"/>
      <w:pPr>
        <w:ind w:left="6888" w:hanging="360"/>
      </w:pPr>
      <w:rPr>
        <w:rFonts w:ascii="Symbol" w:hAnsi="Symbol" w:hint="default"/>
      </w:rPr>
    </w:lvl>
    <w:lvl w:ilvl="7" w:tplc="04050003" w:tentative="1">
      <w:start w:val="1"/>
      <w:numFmt w:val="bullet"/>
      <w:lvlText w:val="o"/>
      <w:lvlJc w:val="left"/>
      <w:pPr>
        <w:ind w:left="7608" w:hanging="360"/>
      </w:pPr>
      <w:rPr>
        <w:rFonts w:ascii="Courier New" w:hAnsi="Courier New" w:cs="Courier New" w:hint="default"/>
      </w:rPr>
    </w:lvl>
    <w:lvl w:ilvl="8" w:tplc="04050005" w:tentative="1">
      <w:start w:val="1"/>
      <w:numFmt w:val="bullet"/>
      <w:lvlText w:val=""/>
      <w:lvlJc w:val="left"/>
      <w:pPr>
        <w:ind w:left="8328" w:hanging="360"/>
      </w:pPr>
      <w:rPr>
        <w:rFonts w:ascii="Wingdings" w:hAnsi="Wingdings" w:hint="default"/>
      </w:rPr>
    </w:lvl>
  </w:abstractNum>
  <w:abstractNum w:abstractNumId="24">
    <w:nsid w:val="4E8F01CC"/>
    <w:multiLevelType w:val="hybridMultilevel"/>
    <w:tmpl w:val="24763944"/>
    <w:lvl w:ilvl="0" w:tplc="04050001">
      <w:start w:val="1"/>
      <w:numFmt w:val="bullet"/>
      <w:lvlText w:val=""/>
      <w:lvlJc w:val="left"/>
      <w:pPr>
        <w:ind w:left="1776" w:hanging="360"/>
      </w:pPr>
      <w:rPr>
        <w:rFonts w:ascii="Symbol" w:hAnsi="Symbol"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5">
    <w:nsid w:val="50DC3D16"/>
    <w:multiLevelType w:val="hybridMultilevel"/>
    <w:tmpl w:val="BFBAF57E"/>
    <w:lvl w:ilvl="0" w:tplc="68D0737E">
      <w:start w:val="1"/>
      <w:numFmt w:val="decimal"/>
      <w:lvlText w:val="%1)"/>
      <w:lvlJc w:val="left"/>
      <w:pPr>
        <w:ind w:left="720" w:hanging="360"/>
      </w:pPr>
      <w:rPr>
        <w:rFonts w:hint="default"/>
        <w:b/>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52E60DA9"/>
    <w:multiLevelType w:val="hybridMultilevel"/>
    <w:tmpl w:val="8CC881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5CF85FAB"/>
    <w:multiLevelType w:val="hybridMultilevel"/>
    <w:tmpl w:val="B22E35F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nsid w:val="5E67649A"/>
    <w:multiLevelType w:val="hybridMultilevel"/>
    <w:tmpl w:val="35D0BB64"/>
    <w:lvl w:ilvl="0" w:tplc="0824BA66">
      <w:start w:val="1"/>
      <w:numFmt w:val="bullet"/>
      <w:lvlText w:val="o"/>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9">
    <w:nsid w:val="61566D0E"/>
    <w:multiLevelType w:val="hybridMultilevel"/>
    <w:tmpl w:val="CDE664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64026A09"/>
    <w:multiLevelType w:val="hybridMultilevel"/>
    <w:tmpl w:val="31525CB8"/>
    <w:lvl w:ilvl="0" w:tplc="0405000B">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1">
    <w:nsid w:val="67631F7F"/>
    <w:multiLevelType w:val="multilevel"/>
    <w:tmpl w:val="39F2728C"/>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72E21AFA"/>
    <w:multiLevelType w:val="hybridMultilevel"/>
    <w:tmpl w:val="7F545576"/>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73AA1EF9"/>
    <w:multiLevelType w:val="hybridMultilevel"/>
    <w:tmpl w:val="2E54D09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76947070"/>
    <w:multiLevelType w:val="hybridMultilevel"/>
    <w:tmpl w:val="6DCEE36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9"/>
  </w:num>
  <w:num w:numId="2">
    <w:abstractNumId w:val="3"/>
  </w:num>
  <w:num w:numId="3">
    <w:abstractNumId w:val="27"/>
  </w:num>
  <w:num w:numId="4">
    <w:abstractNumId w:val="5"/>
  </w:num>
  <w:num w:numId="5">
    <w:abstractNumId w:val="12"/>
  </w:num>
  <w:num w:numId="6">
    <w:abstractNumId w:val="21"/>
  </w:num>
  <w:num w:numId="7">
    <w:abstractNumId w:val="1"/>
  </w:num>
  <w:num w:numId="8">
    <w:abstractNumId w:val="25"/>
  </w:num>
  <w:num w:numId="9">
    <w:abstractNumId w:val="32"/>
  </w:num>
  <w:num w:numId="10">
    <w:abstractNumId w:val="2"/>
  </w:num>
  <w:num w:numId="11">
    <w:abstractNumId w:val="11"/>
  </w:num>
  <w:num w:numId="12">
    <w:abstractNumId w:val="0"/>
  </w:num>
  <w:num w:numId="13">
    <w:abstractNumId w:val="8"/>
  </w:num>
  <w:num w:numId="14">
    <w:abstractNumId w:val="15"/>
  </w:num>
  <w:num w:numId="15">
    <w:abstractNumId w:val="9"/>
  </w:num>
  <w:num w:numId="16">
    <w:abstractNumId w:val="24"/>
  </w:num>
  <w:num w:numId="17">
    <w:abstractNumId w:val="6"/>
  </w:num>
  <w:num w:numId="18">
    <w:abstractNumId w:val="33"/>
  </w:num>
  <w:num w:numId="19">
    <w:abstractNumId w:val="26"/>
  </w:num>
  <w:num w:numId="20">
    <w:abstractNumId w:val="19"/>
  </w:num>
  <w:num w:numId="21">
    <w:abstractNumId w:val="13"/>
  </w:num>
  <w:num w:numId="22">
    <w:abstractNumId w:val="10"/>
  </w:num>
  <w:num w:numId="23">
    <w:abstractNumId w:val="34"/>
  </w:num>
  <w:num w:numId="24">
    <w:abstractNumId w:val="30"/>
  </w:num>
  <w:num w:numId="25">
    <w:abstractNumId w:val="31"/>
  </w:num>
  <w:num w:numId="26">
    <w:abstractNumId w:val="7"/>
  </w:num>
  <w:num w:numId="27">
    <w:abstractNumId w:val="17"/>
  </w:num>
  <w:num w:numId="28">
    <w:abstractNumId w:val="23"/>
  </w:num>
  <w:num w:numId="29">
    <w:abstractNumId w:val="14"/>
  </w:num>
  <w:num w:numId="30">
    <w:abstractNumId w:val="28"/>
  </w:num>
  <w:num w:numId="31">
    <w:abstractNumId w:val="20"/>
  </w:num>
  <w:num w:numId="32">
    <w:abstractNumId w:val="4"/>
  </w:num>
  <w:num w:numId="33">
    <w:abstractNumId w:val="16"/>
  </w:num>
  <w:num w:numId="34">
    <w:abstractNumId w:val="22"/>
  </w:num>
  <w:num w:numId="35">
    <w:abstractNumId w:val="1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N">
    <w15:presenceInfo w15:providerId="None" w15:userId="M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28BF"/>
    <w:rsid w:val="00000109"/>
    <w:rsid w:val="000020DF"/>
    <w:rsid w:val="00005439"/>
    <w:rsid w:val="00032338"/>
    <w:rsid w:val="0004066E"/>
    <w:rsid w:val="00042CBE"/>
    <w:rsid w:val="00044928"/>
    <w:rsid w:val="00082DCB"/>
    <w:rsid w:val="000A2BDC"/>
    <w:rsid w:val="000B246C"/>
    <w:rsid w:val="000C24A2"/>
    <w:rsid w:val="000C5E8D"/>
    <w:rsid w:val="000D0C30"/>
    <w:rsid w:val="000F08F9"/>
    <w:rsid w:val="000F36F9"/>
    <w:rsid w:val="0010182C"/>
    <w:rsid w:val="00115A9E"/>
    <w:rsid w:val="00115DA9"/>
    <w:rsid w:val="001368A1"/>
    <w:rsid w:val="00142F8A"/>
    <w:rsid w:val="00157F24"/>
    <w:rsid w:val="001601E0"/>
    <w:rsid w:val="00193581"/>
    <w:rsid w:val="001B2B5D"/>
    <w:rsid w:val="001B60A7"/>
    <w:rsid w:val="001B7C95"/>
    <w:rsid w:val="001C5BBB"/>
    <w:rsid w:val="001D2D43"/>
    <w:rsid w:val="0020310B"/>
    <w:rsid w:val="00216FF3"/>
    <w:rsid w:val="00226C33"/>
    <w:rsid w:val="0028671C"/>
    <w:rsid w:val="00286B0D"/>
    <w:rsid w:val="002A559D"/>
    <w:rsid w:val="002A6422"/>
    <w:rsid w:val="002B5123"/>
    <w:rsid w:val="002B622C"/>
    <w:rsid w:val="002C20BC"/>
    <w:rsid w:val="002E6D68"/>
    <w:rsid w:val="002F093E"/>
    <w:rsid w:val="00302FAB"/>
    <w:rsid w:val="0036279C"/>
    <w:rsid w:val="003646F8"/>
    <w:rsid w:val="00367F16"/>
    <w:rsid w:val="003748FB"/>
    <w:rsid w:val="003A25C2"/>
    <w:rsid w:val="003D0651"/>
    <w:rsid w:val="003E4510"/>
    <w:rsid w:val="003F43A6"/>
    <w:rsid w:val="004026AE"/>
    <w:rsid w:val="00423DE2"/>
    <w:rsid w:val="00432E66"/>
    <w:rsid w:val="00447D37"/>
    <w:rsid w:val="00451CE2"/>
    <w:rsid w:val="00454955"/>
    <w:rsid w:val="00454D6E"/>
    <w:rsid w:val="00465219"/>
    <w:rsid w:val="004951AF"/>
    <w:rsid w:val="004970A3"/>
    <w:rsid w:val="004A2485"/>
    <w:rsid w:val="004A59EE"/>
    <w:rsid w:val="004A7CEE"/>
    <w:rsid w:val="004C555B"/>
    <w:rsid w:val="004D0991"/>
    <w:rsid w:val="004D28BF"/>
    <w:rsid w:val="004D325A"/>
    <w:rsid w:val="004D6651"/>
    <w:rsid w:val="004E7166"/>
    <w:rsid w:val="004F6504"/>
    <w:rsid w:val="004F7497"/>
    <w:rsid w:val="005003A4"/>
    <w:rsid w:val="00511EE3"/>
    <w:rsid w:val="005130AB"/>
    <w:rsid w:val="00523630"/>
    <w:rsid w:val="00530AB1"/>
    <w:rsid w:val="005527E7"/>
    <w:rsid w:val="00554B95"/>
    <w:rsid w:val="005574F7"/>
    <w:rsid w:val="00575FDC"/>
    <w:rsid w:val="005D0304"/>
    <w:rsid w:val="00613CF0"/>
    <w:rsid w:val="006172DA"/>
    <w:rsid w:val="00645F82"/>
    <w:rsid w:val="0066626F"/>
    <w:rsid w:val="0069370B"/>
    <w:rsid w:val="006F03D7"/>
    <w:rsid w:val="00711DDA"/>
    <w:rsid w:val="0072610E"/>
    <w:rsid w:val="007859B8"/>
    <w:rsid w:val="00793A0B"/>
    <w:rsid w:val="007B4FB3"/>
    <w:rsid w:val="007B78D3"/>
    <w:rsid w:val="007D3C4A"/>
    <w:rsid w:val="007F55BC"/>
    <w:rsid w:val="00811749"/>
    <w:rsid w:val="008421F7"/>
    <w:rsid w:val="0086529E"/>
    <w:rsid w:val="008718D5"/>
    <w:rsid w:val="00897EB7"/>
    <w:rsid w:val="008B10D9"/>
    <w:rsid w:val="008C19BA"/>
    <w:rsid w:val="00905626"/>
    <w:rsid w:val="00911E95"/>
    <w:rsid w:val="009232D3"/>
    <w:rsid w:val="00937D39"/>
    <w:rsid w:val="009803E4"/>
    <w:rsid w:val="009828F0"/>
    <w:rsid w:val="00984E7A"/>
    <w:rsid w:val="009851FC"/>
    <w:rsid w:val="009974C2"/>
    <w:rsid w:val="00997BBF"/>
    <w:rsid w:val="009D699F"/>
    <w:rsid w:val="009E1AFD"/>
    <w:rsid w:val="009E1C3E"/>
    <w:rsid w:val="009E3C99"/>
    <w:rsid w:val="009F0810"/>
    <w:rsid w:val="009F71AA"/>
    <w:rsid w:val="00A00A6F"/>
    <w:rsid w:val="00A02C1E"/>
    <w:rsid w:val="00A02C99"/>
    <w:rsid w:val="00A11730"/>
    <w:rsid w:val="00A1480B"/>
    <w:rsid w:val="00A1501B"/>
    <w:rsid w:val="00A70D2E"/>
    <w:rsid w:val="00A73E49"/>
    <w:rsid w:val="00A82BE6"/>
    <w:rsid w:val="00A84B6C"/>
    <w:rsid w:val="00A91903"/>
    <w:rsid w:val="00A97292"/>
    <w:rsid w:val="00AD124A"/>
    <w:rsid w:val="00AF228A"/>
    <w:rsid w:val="00AF6732"/>
    <w:rsid w:val="00AF67AE"/>
    <w:rsid w:val="00B14671"/>
    <w:rsid w:val="00B1637C"/>
    <w:rsid w:val="00B36EF3"/>
    <w:rsid w:val="00B36FAE"/>
    <w:rsid w:val="00B414B8"/>
    <w:rsid w:val="00B61EB5"/>
    <w:rsid w:val="00B847BE"/>
    <w:rsid w:val="00BA40EE"/>
    <w:rsid w:val="00BB76CA"/>
    <w:rsid w:val="00BB7FB3"/>
    <w:rsid w:val="00BC1B0E"/>
    <w:rsid w:val="00BD0A10"/>
    <w:rsid w:val="00BD1397"/>
    <w:rsid w:val="00BD392A"/>
    <w:rsid w:val="00BD4365"/>
    <w:rsid w:val="00BD7B57"/>
    <w:rsid w:val="00BE1BE6"/>
    <w:rsid w:val="00BF3BDB"/>
    <w:rsid w:val="00C04DA0"/>
    <w:rsid w:val="00C07B98"/>
    <w:rsid w:val="00C15604"/>
    <w:rsid w:val="00C21ECD"/>
    <w:rsid w:val="00C27AF1"/>
    <w:rsid w:val="00C54F4D"/>
    <w:rsid w:val="00C74073"/>
    <w:rsid w:val="00CA105C"/>
    <w:rsid w:val="00CA6016"/>
    <w:rsid w:val="00CA6C13"/>
    <w:rsid w:val="00CC19FF"/>
    <w:rsid w:val="00CE480E"/>
    <w:rsid w:val="00D03BAD"/>
    <w:rsid w:val="00D234CF"/>
    <w:rsid w:val="00D2440F"/>
    <w:rsid w:val="00D61F60"/>
    <w:rsid w:val="00D7242F"/>
    <w:rsid w:val="00D93187"/>
    <w:rsid w:val="00DA3AE1"/>
    <w:rsid w:val="00DE15D1"/>
    <w:rsid w:val="00DE4234"/>
    <w:rsid w:val="00DF4B9A"/>
    <w:rsid w:val="00E3080E"/>
    <w:rsid w:val="00E46415"/>
    <w:rsid w:val="00E53822"/>
    <w:rsid w:val="00E56E76"/>
    <w:rsid w:val="00E97062"/>
    <w:rsid w:val="00EC1F00"/>
    <w:rsid w:val="00EC3246"/>
    <w:rsid w:val="00EC464D"/>
    <w:rsid w:val="00EC72EA"/>
    <w:rsid w:val="00EE3D87"/>
    <w:rsid w:val="00EF1543"/>
    <w:rsid w:val="00F069F2"/>
    <w:rsid w:val="00F10ECB"/>
    <w:rsid w:val="00F268BF"/>
    <w:rsid w:val="00F37945"/>
    <w:rsid w:val="00F4116D"/>
    <w:rsid w:val="00F50B58"/>
    <w:rsid w:val="00F54351"/>
    <w:rsid w:val="00FA0026"/>
    <w:rsid w:val="00FB02EC"/>
    <w:rsid w:val="00FB3B06"/>
    <w:rsid w:val="00FB75E9"/>
    <w:rsid w:val="00FF3D3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5B4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1501B"/>
    <w:pPr>
      <w:spacing w:after="120"/>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uiPriority w:val="99"/>
    <w:unhideWhenUsed/>
    <w:qFormat/>
    <w:rsid w:val="00D2440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A1501B"/>
    <w:pPr>
      <w:tabs>
        <w:tab w:val="center" w:pos="4536"/>
        <w:tab w:val="right" w:pos="9072"/>
      </w:tabs>
    </w:pPr>
  </w:style>
  <w:style w:type="character" w:customStyle="1" w:styleId="ZhlavChar">
    <w:name w:val="Záhlaví Char"/>
    <w:basedOn w:val="Standardnpsmoodstavce"/>
    <w:link w:val="Zhlav"/>
    <w:uiPriority w:val="99"/>
    <w:rsid w:val="00A1501B"/>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A1501B"/>
    <w:pPr>
      <w:tabs>
        <w:tab w:val="center" w:pos="4536"/>
        <w:tab w:val="right" w:pos="9072"/>
      </w:tabs>
    </w:pPr>
  </w:style>
  <w:style w:type="character" w:customStyle="1" w:styleId="ZpatChar">
    <w:name w:val="Zápatí Char"/>
    <w:basedOn w:val="Standardnpsmoodstavce"/>
    <w:link w:val="Zpat"/>
    <w:uiPriority w:val="99"/>
    <w:rsid w:val="00A1501B"/>
    <w:rPr>
      <w:rFonts w:ascii="Times New Roman" w:eastAsia="Times New Roman" w:hAnsi="Times New Roman" w:cs="Times New Roman"/>
      <w:sz w:val="24"/>
      <w:szCs w:val="24"/>
      <w:lang w:eastAsia="cs-CZ"/>
    </w:rPr>
  </w:style>
  <w:style w:type="table" w:styleId="Mkatabulky">
    <w:name w:val="Table Grid"/>
    <w:basedOn w:val="Normlntabulka"/>
    <w:uiPriority w:val="59"/>
    <w:rsid w:val="00A1501B"/>
    <w:pPr>
      <w:spacing w:after="0" w:line="240" w:lineRule="auto"/>
    </w:pPr>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A1501B"/>
    <w:pPr>
      <w:ind w:left="720"/>
      <w:contextualSpacing/>
    </w:pPr>
    <w:rPr>
      <w:sz w:val="20"/>
      <w:szCs w:val="20"/>
    </w:rPr>
  </w:style>
  <w:style w:type="character" w:styleId="Odkaznakoment">
    <w:name w:val="annotation reference"/>
    <w:basedOn w:val="Standardnpsmoodstavce"/>
    <w:uiPriority w:val="99"/>
    <w:semiHidden/>
    <w:unhideWhenUsed/>
    <w:rsid w:val="00A1501B"/>
    <w:rPr>
      <w:sz w:val="16"/>
      <w:szCs w:val="16"/>
    </w:rPr>
  </w:style>
  <w:style w:type="paragraph" w:styleId="Textkomente">
    <w:name w:val="annotation text"/>
    <w:basedOn w:val="Normln"/>
    <w:link w:val="TextkomenteChar"/>
    <w:uiPriority w:val="99"/>
    <w:unhideWhenUsed/>
    <w:rsid w:val="00A1501B"/>
    <w:pPr>
      <w:spacing w:line="240" w:lineRule="auto"/>
    </w:pPr>
    <w:rPr>
      <w:sz w:val="20"/>
      <w:szCs w:val="20"/>
    </w:rPr>
  </w:style>
  <w:style w:type="character" w:customStyle="1" w:styleId="TextkomenteChar">
    <w:name w:val="Text komentáře Char"/>
    <w:basedOn w:val="Standardnpsmoodstavce"/>
    <w:link w:val="Textkomente"/>
    <w:uiPriority w:val="99"/>
    <w:rsid w:val="00A1501B"/>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A1501B"/>
    <w:rPr>
      <w:b/>
      <w:bCs/>
    </w:rPr>
  </w:style>
  <w:style w:type="character" w:customStyle="1" w:styleId="PedmtkomenteChar">
    <w:name w:val="Předmět komentáře Char"/>
    <w:basedOn w:val="TextkomenteChar"/>
    <w:link w:val="Pedmtkomente"/>
    <w:uiPriority w:val="99"/>
    <w:semiHidden/>
    <w:rsid w:val="00A1501B"/>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A1501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1501B"/>
    <w:rPr>
      <w:rFonts w:ascii="Tahoma" w:eastAsia="Times New Roman" w:hAnsi="Tahoma" w:cs="Tahoma"/>
      <w:sz w:val="16"/>
      <w:szCs w:val="16"/>
      <w:lang w:eastAsia="cs-CZ"/>
    </w:rPr>
  </w:style>
  <w:style w:type="paragraph" w:customStyle="1" w:styleId="CharCharCharCharCharCharCharCharCharCharCharCharCharCharCharCharCharChar1CharCharCharCharCharCharCharCharCharCharCharCharCharChar">
    <w:name w:val="Char Char Char Char Char Char Char Char Char Char Char Char Char Char Char Char Char Char1 Char Char Char Char Char Char Char Char Char Char Char Char Char Char"/>
    <w:basedOn w:val="Normln"/>
    <w:rsid w:val="00A1501B"/>
    <w:pPr>
      <w:spacing w:after="160" w:line="240" w:lineRule="exact"/>
    </w:pPr>
    <w:rPr>
      <w:rFonts w:ascii="Tahoma" w:hAnsi="Tahoma" w:cs="Tahoma"/>
      <w:sz w:val="20"/>
      <w:szCs w:val="20"/>
      <w:lang w:val="en-US" w:eastAsia="en-US"/>
    </w:rPr>
  </w:style>
  <w:style w:type="character" w:customStyle="1" w:styleId="Nadpis2Char">
    <w:name w:val="Nadpis 2 Char"/>
    <w:basedOn w:val="Standardnpsmoodstavce"/>
    <w:link w:val="Nadpis2"/>
    <w:uiPriority w:val="99"/>
    <w:rsid w:val="00D2440F"/>
    <w:rPr>
      <w:rFonts w:asciiTheme="majorHAnsi" w:eastAsiaTheme="majorEastAsia" w:hAnsiTheme="majorHAnsi" w:cstheme="majorBidi"/>
      <w:b/>
      <w:bCs/>
      <w:color w:val="4F81BD" w:themeColor="accent1"/>
      <w:sz w:val="26"/>
      <w:szCs w:val="26"/>
      <w:lang w:eastAsia="cs-CZ"/>
    </w:rPr>
  </w:style>
  <w:style w:type="character" w:customStyle="1" w:styleId="ZkladntextChar">
    <w:name w:val="Základní text Char"/>
    <w:basedOn w:val="Standardnpsmoodstavce"/>
    <w:link w:val="Tlotextu"/>
    <w:uiPriority w:val="99"/>
    <w:locked/>
    <w:rsid w:val="00D61F60"/>
    <w:rPr>
      <w:sz w:val="24"/>
      <w:szCs w:val="24"/>
      <w:lang w:eastAsia="zh-CN"/>
    </w:rPr>
  </w:style>
  <w:style w:type="paragraph" w:customStyle="1" w:styleId="Tlotextu">
    <w:name w:val="Tělo textu"/>
    <w:basedOn w:val="Normln"/>
    <w:link w:val="ZkladntextChar"/>
    <w:uiPriority w:val="99"/>
    <w:rsid w:val="00D61F60"/>
    <w:pPr>
      <w:widowControl w:val="0"/>
      <w:suppressAutoHyphens/>
      <w:spacing w:before="113" w:after="0" w:line="288" w:lineRule="auto"/>
      <w:jc w:val="both"/>
    </w:pPr>
    <w:rPr>
      <w:rFonts w:ascii="Arial" w:eastAsiaTheme="minorHAnsi" w:hAnsi="Arial" w:cs="Arial"/>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1501B"/>
    <w:pPr>
      <w:spacing w:after="120"/>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uiPriority w:val="99"/>
    <w:unhideWhenUsed/>
    <w:qFormat/>
    <w:rsid w:val="00D2440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A1501B"/>
    <w:pPr>
      <w:tabs>
        <w:tab w:val="center" w:pos="4536"/>
        <w:tab w:val="right" w:pos="9072"/>
      </w:tabs>
    </w:pPr>
  </w:style>
  <w:style w:type="character" w:customStyle="1" w:styleId="ZhlavChar">
    <w:name w:val="Záhlaví Char"/>
    <w:basedOn w:val="Standardnpsmoodstavce"/>
    <w:link w:val="Zhlav"/>
    <w:uiPriority w:val="99"/>
    <w:rsid w:val="00A1501B"/>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A1501B"/>
    <w:pPr>
      <w:tabs>
        <w:tab w:val="center" w:pos="4536"/>
        <w:tab w:val="right" w:pos="9072"/>
      </w:tabs>
    </w:pPr>
  </w:style>
  <w:style w:type="character" w:customStyle="1" w:styleId="ZpatChar">
    <w:name w:val="Zápatí Char"/>
    <w:basedOn w:val="Standardnpsmoodstavce"/>
    <w:link w:val="Zpat"/>
    <w:uiPriority w:val="99"/>
    <w:rsid w:val="00A1501B"/>
    <w:rPr>
      <w:rFonts w:ascii="Times New Roman" w:eastAsia="Times New Roman" w:hAnsi="Times New Roman" w:cs="Times New Roman"/>
      <w:sz w:val="24"/>
      <w:szCs w:val="24"/>
      <w:lang w:eastAsia="cs-CZ"/>
    </w:rPr>
  </w:style>
  <w:style w:type="table" w:styleId="Mkatabulky">
    <w:name w:val="Table Grid"/>
    <w:basedOn w:val="Normlntabulka"/>
    <w:uiPriority w:val="59"/>
    <w:rsid w:val="00A1501B"/>
    <w:pPr>
      <w:spacing w:after="0" w:line="240" w:lineRule="auto"/>
    </w:pPr>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A1501B"/>
    <w:pPr>
      <w:ind w:left="720"/>
      <w:contextualSpacing/>
    </w:pPr>
    <w:rPr>
      <w:sz w:val="20"/>
      <w:szCs w:val="20"/>
    </w:rPr>
  </w:style>
  <w:style w:type="character" w:styleId="Odkaznakoment">
    <w:name w:val="annotation reference"/>
    <w:basedOn w:val="Standardnpsmoodstavce"/>
    <w:uiPriority w:val="99"/>
    <w:semiHidden/>
    <w:unhideWhenUsed/>
    <w:rsid w:val="00A1501B"/>
    <w:rPr>
      <w:sz w:val="16"/>
      <w:szCs w:val="16"/>
    </w:rPr>
  </w:style>
  <w:style w:type="paragraph" w:styleId="Textkomente">
    <w:name w:val="annotation text"/>
    <w:basedOn w:val="Normln"/>
    <w:link w:val="TextkomenteChar"/>
    <w:uiPriority w:val="99"/>
    <w:unhideWhenUsed/>
    <w:rsid w:val="00A1501B"/>
    <w:pPr>
      <w:spacing w:line="240" w:lineRule="auto"/>
    </w:pPr>
    <w:rPr>
      <w:sz w:val="20"/>
      <w:szCs w:val="20"/>
    </w:rPr>
  </w:style>
  <w:style w:type="character" w:customStyle="1" w:styleId="TextkomenteChar">
    <w:name w:val="Text komentáře Char"/>
    <w:basedOn w:val="Standardnpsmoodstavce"/>
    <w:link w:val="Textkomente"/>
    <w:uiPriority w:val="99"/>
    <w:rsid w:val="00A1501B"/>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A1501B"/>
    <w:rPr>
      <w:b/>
      <w:bCs/>
    </w:rPr>
  </w:style>
  <w:style w:type="character" w:customStyle="1" w:styleId="PedmtkomenteChar">
    <w:name w:val="Předmět komentáře Char"/>
    <w:basedOn w:val="TextkomenteChar"/>
    <w:link w:val="Pedmtkomente"/>
    <w:uiPriority w:val="99"/>
    <w:semiHidden/>
    <w:rsid w:val="00A1501B"/>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A1501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1501B"/>
    <w:rPr>
      <w:rFonts w:ascii="Tahoma" w:eastAsia="Times New Roman" w:hAnsi="Tahoma" w:cs="Tahoma"/>
      <w:sz w:val="16"/>
      <w:szCs w:val="16"/>
      <w:lang w:eastAsia="cs-CZ"/>
    </w:rPr>
  </w:style>
  <w:style w:type="paragraph" w:customStyle="1" w:styleId="CharCharCharCharCharCharCharCharCharCharCharCharCharCharCharCharCharChar1CharCharCharCharCharCharCharCharCharCharCharCharCharChar">
    <w:name w:val="Char Char Char Char Char Char Char Char Char Char Char Char Char Char Char Char Char Char1 Char Char Char Char Char Char Char Char Char Char Char Char Char Char"/>
    <w:basedOn w:val="Normln"/>
    <w:rsid w:val="00A1501B"/>
    <w:pPr>
      <w:spacing w:after="160" w:line="240" w:lineRule="exact"/>
    </w:pPr>
    <w:rPr>
      <w:rFonts w:ascii="Tahoma" w:hAnsi="Tahoma" w:cs="Tahoma"/>
      <w:sz w:val="20"/>
      <w:szCs w:val="20"/>
      <w:lang w:val="en-US" w:eastAsia="en-US"/>
    </w:rPr>
  </w:style>
  <w:style w:type="character" w:customStyle="1" w:styleId="Nadpis2Char">
    <w:name w:val="Nadpis 2 Char"/>
    <w:basedOn w:val="Standardnpsmoodstavce"/>
    <w:link w:val="Nadpis2"/>
    <w:uiPriority w:val="99"/>
    <w:rsid w:val="00D2440F"/>
    <w:rPr>
      <w:rFonts w:asciiTheme="majorHAnsi" w:eastAsiaTheme="majorEastAsia" w:hAnsiTheme="majorHAnsi" w:cstheme="majorBidi"/>
      <w:b/>
      <w:bCs/>
      <w:color w:val="4F81BD" w:themeColor="accent1"/>
      <w:sz w:val="26"/>
      <w:szCs w:val="26"/>
      <w:lang w:eastAsia="cs-CZ"/>
    </w:rPr>
  </w:style>
  <w:style w:type="character" w:customStyle="1" w:styleId="ZkladntextChar">
    <w:name w:val="Základní text Char"/>
    <w:basedOn w:val="Standardnpsmoodstavce"/>
    <w:link w:val="Tlotextu"/>
    <w:uiPriority w:val="99"/>
    <w:locked/>
    <w:rsid w:val="00D61F60"/>
    <w:rPr>
      <w:sz w:val="24"/>
      <w:szCs w:val="24"/>
      <w:lang w:eastAsia="zh-CN"/>
    </w:rPr>
  </w:style>
  <w:style w:type="paragraph" w:customStyle="1" w:styleId="Tlotextu">
    <w:name w:val="Tělo textu"/>
    <w:basedOn w:val="Normln"/>
    <w:link w:val="ZkladntextChar"/>
    <w:uiPriority w:val="99"/>
    <w:rsid w:val="00D61F60"/>
    <w:pPr>
      <w:widowControl w:val="0"/>
      <w:suppressAutoHyphens/>
      <w:spacing w:before="113" w:after="0" w:line="288" w:lineRule="auto"/>
      <w:jc w:val="both"/>
    </w:pPr>
    <w:rPr>
      <w:rFonts w:ascii="Arial" w:eastAsiaTheme="minorHAnsi"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2621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130E28-67DC-4F6D-BF15-05E1695064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4</Pages>
  <Words>1690</Words>
  <Characters>9977</Characters>
  <Application>Microsoft Office Word</Application>
  <DocSecurity>0</DocSecurity>
  <Lines>83</Lines>
  <Paragraphs>23</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11644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Nekorjak Michal</dc:creator>
  <cp:lastModifiedBy>Bártová Milada</cp:lastModifiedBy>
  <cp:revision>10</cp:revision>
  <cp:lastPrinted>2017-06-21T11:56:00Z</cp:lastPrinted>
  <dcterms:created xsi:type="dcterms:W3CDTF">2017-06-14T07:11:00Z</dcterms:created>
  <dcterms:modified xsi:type="dcterms:W3CDTF">2017-07-13T12:14:00Z</dcterms:modified>
</cp:coreProperties>
</file>